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C186" w14:textId="77777777" w:rsidR="00B40BE5" w:rsidRDefault="00B40BE5" w:rsidP="00B40BE5">
      <w:pPr>
        <w:jc w:val="center"/>
        <w:rPr>
          <w:b/>
          <w:bCs/>
          <w:color w:val="000000" w:themeColor="text1"/>
        </w:rPr>
      </w:pPr>
      <w:r>
        <w:rPr>
          <w:b/>
          <w:bCs/>
          <w:color w:val="000000" w:themeColor="text1"/>
        </w:rPr>
        <w:t>Supplementary Materials</w:t>
      </w:r>
    </w:p>
    <w:p w14:paraId="3ED71B8E" w14:textId="77777777" w:rsidR="00B40BE5" w:rsidRDefault="00B40BE5" w:rsidP="00B40BE5">
      <w:pPr>
        <w:jc w:val="center"/>
        <w:rPr>
          <w:b/>
          <w:bCs/>
          <w:color w:val="000000" w:themeColor="text1"/>
        </w:rPr>
      </w:pPr>
    </w:p>
    <w:p w14:paraId="5D48E350" w14:textId="77777777" w:rsidR="00B40BE5" w:rsidRDefault="00B40BE5" w:rsidP="00B40BE5">
      <w:pPr>
        <w:jc w:val="center"/>
        <w:rPr>
          <w:b/>
          <w:bCs/>
          <w:color w:val="000000" w:themeColor="text1"/>
        </w:rPr>
      </w:pPr>
      <w:r>
        <w:rPr>
          <w:b/>
          <w:bCs/>
          <w:color w:val="000000" w:themeColor="text1"/>
        </w:rPr>
        <w:t>Excluded Participants</w:t>
      </w:r>
    </w:p>
    <w:p w14:paraId="50454DE7" w14:textId="77777777" w:rsidR="00B40BE5" w:rsidRDefault="00B40BE5" w:rsidP="00B40BE5">
      <w:pPr>
        <w:jc w:val="center"/>
        <w:rPr>
          <w:b/>
          <w:bCs/>
          <w:color w:val="000000" w:themeColor="text1"/>
        </w:rPr>
      </w:pPr>
    </w:p>
    <w:p w14:paraId="0DCA6898" w14:textId="77777777" w:rsidR="00B40BE5" w:rsidRPr="0094760B" w:rsidRDefault="00B40BE5" w:rsidP="00B40BE5">
      <w:r>
        <w:tab/>
      </w:r>
      <w:r w:rsidRPr="0094760B">
        <w:t xml:space="preserve">Over the three experiments, there were 47 participants excluded from the analyses: 42 for deception failure, </w:t>
      </w:r>
      <w:r>
        <w:t>3</w:t>
      </w:r>
      <w:r w:rsidRPr="0094760B">
        <w:t xml:space="preserve"> for inattentive task performance, and </w:t>
      </w:r>
      <w:r>
        <w:t>2</w:t>
      </w:r>
      <w:r w:rsidRPr="0094760B">
        <w:t xml:space="preserve"> for both deception failure and inattenti</w:t>
      </w:r>
      <w:r>
        <w:t>on</w:t>
      </w:r>
      <w:r w:rsidRPr="0094760B">
        <w:t>.</w:t>
      </w:r>
    </w:p>
    <w:p w14:paraId="291B423F" w14:textId="77777777" w:rsidR="00B40BE5" w:rsidRPr="0094760B" w:rsidRDefault="00B40BE5" w:rsidP="00B40BE5">
      <w:r w:rsidRPr="00AB181A">
        <w:rPr>
          <w:b/>
          <w:bCs/>
          <w:noProof/>
          <w:color w:val="000000" w:themeColor="text1"/>
          <w:lang w:val="en-US"/>
        </w:rPr>
        <mc:AlternateContent>
          <mc:Choice Requires="wps">
            <w:drawing>
              <wp:anchor distT="0" distB="0" distL="114300" distR="114300" simplePos="0" relativeHeight="251660288" behindDoc="0" locked="0" layoutInCell="1" allowOverlap="1" wp14:anchorId="625CABFC" wp14:editId="183ECF0C">
                <wp:simplePos x="0" y="0"/>
                <wp:positionH relativeFrom="margin">
                  <wp:posOffset>1651000</wp:posOffset>
                </wp:positionH>
                <wp:positionV relativeFrom="margin">
                  <wp:posOffset>1064811</wp:posOffset>
                </wp:positionV>
                <wp:extent cx="4291965" cy="677164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4291965" cy="6771640"/>
                        </a:xfrm>
                        <a:prstGeom prst="rect">
                          <a:avLst/>
                        </a:prstGeom>
                        <a:solidFill>
                          <a:schemeClr val="lt1"/>
                        </a:solidFill>
                        <a:ln w="6350">
                          <a:noFill/>
                        </a:ln>
                      </wps:spPr>
                      <wps:txbx>
                        <w:txbxContent>
                          <w:p w14:paraId="003C1E98" w14:textId="77777777" w:rsidR="00B40BE5" w:rsidRDefault="00B40BE5" w:rsidP="00B40BE5">
                            <w:pPr>
                              <w:jc w:val="center"/>
                            </w:pPr>
                            <w:r>
                              <w:rPr>
                                <w:noProof/>
                                <w:lang w:val="en-US"/>
                              </w:rPr>
                              <w:drawing>
                                <wp:inline distT="0" distB="0" distL="0" distR="0" wp14:anchorId="38E742BB" wp14:editId="1AF7CA91">
                                  <wp:extent cx="4054415" cy="5883514"/>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4"/>
                                          <a:stretch>
                                            <a:fillRect/>
                                          </a:stretch>
                                        </pic:blipFill>
                                        <pic:spPr>
                                          <a:xfrm>
                                            <a:off x="0" y="0"/>
                                            <a:ext cx="4075486" cy="5914091"/>
                                          </a:xfrm>
                                          <a:prstGeom prst="rect">
                                            <a:avLst/>
                                          </a:prstGeom>
                                        </pic:spPr>
                                      </pic:pic>
                                    </a:graphicData>
                                  </a:graphic>
                                </wp:inline>
                              </w:drawing>
                            </w:r>
                          </w:p>
                          <w:p w14:paraId="1D6E657E" w14:textId="77777777" w:rsidR="00B40BE5" w:rsidRPr="00A311D0" w:rsidRDefault="00B40BE5" w:rsidP="00B40BE5">
                            <w:pPr>
                              <w:rPr>
                                <w:i/>
                                <w:iCs/>
                              </w:rPr>
                            </w:pPr>
                            <w:r w:rsidRPr="00FC1685">
                              <w:rPr>
                                <w:i/>
                                <w:iCs/>
                              </w:rPr>
                              <w:t>Figure S1.</w:t>
                            </w:r>
                            <w:r w:rsidRPr="00FC1685">
                              <w:t xml:space="preserve"> </w:t>
                            </w:r>
                            <w:r>
                              <w:rPr>
                                <w:i/>
                                <w:iCs/>
                                <w:lang w:val="en-US"/>
                              </w:rPr>
                              <w:t>Demographic differences between</w:t>
                            </w:r>
                            <w:r w:rsidRPr="00CD1A54">
                              <w:rPr>
                                <w:i/>
                                <w:iCs/>
                                <w:lang w:val="en-US"/>
                              </w:rPr>
                              <w:t xml:space="preserve"> participants who were included in the analysis and excluded for deception failure</w:t>
                            </w:r>
                            <w:r>
                              <w:rPr>
                                <w:i/>
                                <w:iCs/>
                                <w:lang w:val="en-US"/>
                              </w:rPr>
                              <w:t xml:space="preserve"> on a) age, b) gender, c) personality characteristics</w:t>
                            </w:r>
                            <w:r w:rsidRPr="00CD1A54">
                              <w:rPr>
                                <w:i/>
                                <w:iCs/>
                                <w:lang w:val="en-US"/>
                              </w:rPr>
                              <w:t>.</w:t>
                            </w:r>
                            <w:r>
                              <w:rPr>
                                <w:i/>
                                <w:iCs/>
                                <w:lang w:val="en-US"/>
                              </w:rPr>
                              <w:t xml:space="preserve"> Error bars show the 95% CI.</w:t>
                            </w:r>
                            <w:r w:rsidRPr="00F14413">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ABFC" id="_x0000_t202" coordsize="21600,21600" o:spt="202" path="m0,0l0,21600,21600,21600,21600,0xe">
                <v:stroke joinstyle="miter"/>
                <v:path gradientshapeok="t" o:connecttype="rect"/>
              </v:shapetype>
              <v:shape id="Text Box 1" o:spid="_x0000_s1026" type="#_x0000_t202" style="position:absolute;margin-left:130pt;margin-top:83.85pt;width:337.95pt;height:5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" fillcolor="white [3201]" stroked="f" strokeweight=".5pt">
                <v:textbox>
                  <w:txbxContent>
                    <w:p w14:paraId="003C1E98" w14:textId="77777777" w:rsidR="00B40BE5" w:rsidRDefault="00B40BE5" w:rsidP="00B40BE5">
                      <w:pPr>
                        <w:jc w:val="center"/>
                      </w:pPr>
                      <w:r>
                        <w:rPr>
                          <w:noProof/>
                          <w:lang w:val="en-US"/>
                        </w:rPr>
                        <w:drawing>
                          <wp:inline distT="0" distB="0" distL="0" distR="0" wp14:anchorId="38E742BB" wp14:editId="1AF7CA91">
                            <wp:extent cx="4054415" cy="5883514"/>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4"/>
                                    <a:stretch>
                                      <a:fillRect/>
                                    </a:stretch>
                                  </pic:blipFill>
                                  <pic:spPr>
                                    <a:xfrm>
                                      <a:off x="0" y="0"/>
                                      <a:ext cx="4075486" cy="5914091"/>
                                    </a:xfrm>
                                    <a:prstGeom prst="rect">
                                      <a:avLst/>
                                    </a:prstGeom>
                                  </pic:spPr>
                                </pic:pic>
                              </a:graphicData>
                            </a:graphic>
                          </wp:inline>
                        </w:drawing>
                      </w:r>
                    </w:p>
                    <w:p w14:paraId="1D6E657E" w14:textId="77777777" w:rsidR="00B40BE5" w:rsidRPr="00A311D0" w:rsidRDefault="00B40BE5" w:rsidP="00B40BE5">
                      <w:pPr>
                        <w:rPr>
                          <w:i/>
                          <w:iCs/>
                        </w:rPr>
                      </w:pPr>
                      <w:r w:rsidRPr="00FC1685">
                        <w:rPr>
                          <w:i/>
                          <w:iCs/>
                        </w:rPr>
                        <w:t>Figure S1.</w:t>
                      </w:r>
                      <w:r w:rsidRPr="00FC1685">
                        <w:t xml:space="preserve"> </w:t>
                      </w:r>
                      <w:r>
                        <w:rPr>
                          <w:i/>
                          <w:iCs/>
                          <w:lang w:val="en-US"/>
                        </w:rPr>
                        <w:t>Demographic differences between</w:t>
                      </w:r>
                      <w:r w:rsidRPr="00CD1A54">
                        <w:rPr>
                          <w:i/>
                          <w:iCs/>
                          <w:lang w:val="en-US"/>
                        </w:rPr>
                        <w:t xml:space="preserve"> participants who were included in the analysis and excluded for deception failure</w:t>
                      </w:r>
                      <w:r>
                        <w:rPr>
                          <w:i/>
                          <w:iCs/>
                          <w:lang w:val="en-US"/>
                        </w:rPr>
                        <w:t xml:space="preserve"> on a) age, b) gender, c) personality characteristics</w:t>
                      </w:r>
                      <w:r w:rsidRPr="00CD1A54">
                        <w:rPr>
                          <w:i/>
                          <w:iCs/>
                          <w:lang w:val="en-US"/>
                        </w:rPr>
                        <w:t>.</w:t>
                      </w:r>
                      <w:r>
                        <w:rPr>
                          <w:i/>
                          <w:iCs/>
                          <w:lang w:val="en-US"/>
                        </w:rPr>
                        <w:t xml:space="preserve"> Error bars show the 95% CI.</w:t>
                      </w:r>
                      <w:r w:rsidRPr="00F14413">
                        <w:rPr>
                          <w:lang w:val="en-US"/>
                        </w:rPr>
                        <w:t xml:space="preserve"> </w:t>
                      </w:r>
                    </w:p>
                  </w:txbxContent>
                </v:textbox>
                <w10:wrap type="square" anchorx="margin" anchory="margin"/>
              </v:shape>
            </w:pict>
          </mc:Fallback>
        </mc:AlternateContent>
      </w:r>
    </w:p>
    <w:p w14:paraId="15C9391D" w14:textId="77777777" w:rsidR="00B40BE5" w:rsidRPr="00922B51" w:rsidRDefault="00B40BE5" w:rsidP="00B40BE5">
      <w:pPr>
        <w:rPr>
          <w:lang w:val="en-US"/>
        </w:rPr>
      </w:pPr>
      <w:r w:rsidRPr="0094760B">
        <w:tab/>
        <w:t>We tested whether individuals who were not included in our main analysis for deception failure (</w:t>
      </w:r>
      <w:r w:rsidRPr="008B3626">
        <w:t>N = 44</w:t>
      </w:r>
      <w:r w:rsidRPr="0094760B">
        <w:t xml:space="preserve">) differed from those who were included (N = 278) on age, gender, and personality (as measured by the Big Five Inventory: John &amp; Srivastava, 1999). </w:t>
      </w:r>
      <w:r w:rsidRPr="008B3626">
        <w:t xml:space="preserve">There </w:t>
      </w:r>
      <w:r>
        <w:t>were</w:t>
      </w:r>
      <w:r w:rsidRPr="008B3626">
        <w:t xml:space="preserve"> no significant differences between groups on age (see Figure S</w:t>
      </w:r>
      <w:r>
        <w:t>1a</w:t>
      </w:r>
      <w:r w:rsidRPr="008B3626">
        <w:t>)</w:t>
      </w:r>
      <w:r>
        <w:t xml:space="preserve">, </w:t>
      </w:r>
      <w:r>
        <w:rPr>
          <w:i/>
          <w:iCs/>
        </w:rPr>
        <w:t>t</w:t>
      </w:r>
      <w:r>
        <w:t xml:space="preserve">(317) =      -.214, </w:t>
      </w:r>
      <w:r>
        <w:rPr>
          <w:i/>
          <w:iCs/>
        </w:rPr>
        <w:t>p</w:t>
      </w:r>
      <w:r>
        <w:t xml:space="preserve"> = .831.</w:t>
      </w:r>
      <w:r w:rsidRPr="008B3626">
        <w:t xml:space="preserve"> </w:t>
      </w:r>
      <w:r>
        <w:t xml:space="preserve">However, we did find a significant gender difference </w:t>
      </w:r>
      <w:r w:rsidRPr="00FB3D89">
        <w:t xml:space="preserve">between those </w:t>
      </w:r>
      <w:r>
        <w:t>who</w:t>
      </w:r>
      <w:r w:rsidRPr="00FB3D89">
        <w:t xml:space="preserve"> were included </w:t>
      </w:r>
      <w:r>
        <w:t>versus</w:t>
      </w:r>
      <w:r w:rsidRPr="00FB3D89">
        <w:t xml:space="preserve"> excluded for deception failure, χ</w:t>
      </w:r>
      <w:r w:rsidRPr="00FB3D89">
        <w:rPr>
          <w:vertAlign w:val="superscript"/>
        </w:rPr>
        <w:t>2</w:t>
      </w:r>
      <w:r w:rsidRPr="00FB3D89">
        <w:t xml:space="preserve">(1, N=228) = 7.423, </w:t>
      </w:r>
      <w:r w:rsidRPr="00FB3D89">
        <w:rPr>
          <w:i/>
          <w:iCs/>
        </w:rPr>
        <w:t>p</w:t>
      </w:r>
      <w:r w:rsidRPr="00FB3D89">
        <w:t xml:space="preserve"> = .006 (Figure S</w:t>
      </w:r>
      <w:r>
        <w:t>1b</w:t>
      </w:r>
      <w:r w:rsidRPr="00FB3D89">
        <w:t>). Specifically, male participants were more likely to be excluded from the main analysis due to deception failure than were female participants.</w:t>
      </w:r>
      <w:r>
        <w:t xml:space="preserve"> The groups did not differ on any measured </w:t>
      </w:r>
      <w:r w:rsidRPr="008B3626">
        <w:t>personality traits (Figure S</w:t>
      </w:r>
      <w:r>
        <w:t>1c</w:t>
      </w:r>
      <w:r w:rsidRPr="008B3626">
        <w:t>)</w:t>
      </w:r>
      <w:r>
        <w:t>, all p-values &gt; .105</w:t>
      </w:r>
      <w:r w:rsidRPr="008B3626">
        <w:t>.</w:t>
      </w:r>
    </w:p>
    <w:p w14:paraId="63A0D949" w14:textId="77777777" w:rsidR="00B40BE5" w:rsidRPr="00922B51" w:rsidRDefault="00B40BE5" w:rsidP="00B40BE5">
      <w:pPr>
        <w:rPr>
          <w:lang w:val="en-US"/>
        </w:rPr>
      </w:pPr>
    </w:p>
    <w:p w14:paraId="2CBCB7DD" w14:textId="77777777" w:rsidR="00B40BE5" w:rsidRPr="00CD1A54" w:rsidRDefault="00B40BE5" w:rsidP="00B40BE5">
      <w:pPr>
        <w:rPr>
          <w:b/>
          <w:bCs/>
          <w:color w:val="000000" w:themeColor="text1"/>
        </w:rPr>
      </w:pPr>
    </w:p>
    <w:p w14:paraId="5EE653CD" w14:textId="77777777" w:rsidR="00B40BE5" w:rsidRDefault="00B40BE5" w:rsidP="00B40BE5">
      <w:pPr>
        <w:rPr>
          <w:color w:val="000000" w:themeColor="text1"/>
        </w:rPr>
      </w:pPr>
      <w:bookmarkStart w:id="0" w:name="_GoBack"/>
      <w:bookmarkEnd w:id="0"/>
    </w:p>
    <w:p w14:paraId="4529DA5B" w14:textId="77777777" w:rsidR="00B40BE5" w:rsidRDefault="00B40BE5" w:rsidP="00B40BE5">
      <w:pPr>
        <w:rPr>
          <w:b/>
          <w:bCs/>
          <w:color w:val="000000" w:themeColor="text1"/>
        </w:rPr>
      </w:pPr>
    </w:p>
    <w:p w14:paraId="71AAAAB3" w14:textId="77777777" w:rsidR="00B40BE5" w:rsidRPr="00AB181A" w:rsidRDefault="00B40BE5" w:rsidP="00B40BE5">
      <w:pPr>
        <w:rPr>
          <w:b/>
          <w:bCs/>
          <w:color w:val="000000" w:themeColor="text1"/>
        </w:rPr>
      </w:pPr>
      <w:r w:rsidRPr="00AB181A">
        <w:rPr>
          <w:b/>
          <w:bCs/>
          <w:noProof/>
          <w:color w:val="000000" w:themeColor="text1"/>
          <w:lang w:val="en-US"/>
        </w:rPr>
        <mc:AlternateContent>
          <mc:Choice Requires="wps">
            <w:drawing>
              <wp:anchor distT="0" distB="0" distL="114300" distR="114300" simplePos="0" relativeHeight="251659264" behindDoc="0" locked="0" layoutInCell="1" allowOverlap="1" wp14:anchorId="3C99B36F" wp14:editId="6F858C60">
                <wp:simplePos x="0" y="0"/>
                <wp:positionH relativeFrom="column">
                  <wp:posOffset>-83890</wp:posOffset>
                </wp:positionH>
                <wp:positionV relativeFrom="paragraph">
                  <wp:posOffset>228320</wp:posOffset>
                </wp:positionV>
                <wp:extent cx="6216242" cy="5268287"/>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216242" cy="5268287"/>
                        </a:xfrm>
                        <a:prstGeom prst="rect">
                          <a:avLst/>
                        </a:prstGeom>
                        <a:solidFill>
                          <a:schemeClr val="lt1"/>
                        </a:solidFill>
                        <a:ln w="6350">
                          <a:noFill/>
                        </a:ln>
                      </wps:spPr>
                      <wps:txbx>
                        <w:txbxContent>
                          <w:p w14:paraId="1F4A6A06" w14:textId="77777777" w:rsidR="00B40BE5" w:rsidRDefault="00B40BE5" w:rsidP="00B40BE5">
                            <w:r>
                              <w:rPr>
                                <w:noProof/>
                                <w:lang w:val="en-US"/>
                              </w:rPr>
                              <w:drawing>
                                <wp:inline distT="0" distB="0" distL="0" distR="0" wp14:anchorId="2F22CCDB" wp14:editId="6519BF87">
                                  <wp:extent cx="5936545" cy="3280096"/>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5"/>
                                          <a:stretch>
                                            <a:fillRect/>
                                          </a:stretch>
                                        </pic:blipFill>
                                        <pic:spPr>
                                          <a:xfrm>
                                            <a:off x="0" y="0"/>
                                            <a:ext cx="5968853" cy="3297947"/>
                                          </a:xfrm>
                                          <a:prstGeom prst="rect">
                                            <a:avLst/>
                                          </a:prstGeom>
                                        </pic:spPr>
                                      </pic:pic>
                                    </a:graphicData>
                                  </a:graphic>
                                </wp:inline>
                              </w:drawing>
                            </w:r>
                          </w:p>
                          <w:p w14:paraId="04D2233A" w14:textId="77777777" w:rsidR="00B40BE5" w:rsidRPr="00A311D0" w:rsidRDefault="00B40BE5" w:rsidP="00B40BE5">
                            <w:pPr>
                              <w:rPr>
                                <w:i/>
                                <w:iCs/>
                              </w:rPr>
                            </w:pPr>
                            <w:r w:rsidRPr="00FC1685">
                              <w:rPr>
                                <w:i/>
                                <w:iCs/>
                              </w:rPr>
                              <w:t xml:space="preserve">Figure </w:t>
                            </w:r>
                            <w:r w:rsidRPr="008D5D18">
                              <w:rPr>
                                <w:i/>
                                <w:iCs/>
                              </w:rPr>
                              <w:t>S2</w:t>
                            </w:r>
                            <w:r w:rsidRPr="00FC1685">
                              <w:rPr>
                                <w:i/>
                                <w:iCs/>
                              </w:rPr>
                              <w:t>.</w:t>
                            </w:r>
                            <w:r w:rsidRPr="00FC1685">
                              <w:t xml:space="preserve"> </w:t>
                            </w:r>
                            <w:r w:rsidRPr="00FC1685">
                              <w:rPr>
                                <w:i/>
                                <w:iCs/>
                              </w:rPr>
                              <w:t>Average emoji feedback chosen by participants for each avatar a) when responses to the similarity manipulation matched and b) when responses to the similarity manipulation did not match</w:t>
                            </w:r>
                            <w:r w:rsidRPr="00DA59E9">
                              <w:rPr>
                                <w:i/>
                                <w:iCs/>
                              </w:rPr>
                              <w:t>.</w:t>
                            </w:r>
                            <w:r w:rsidRPr="008738D4">
                              <w:rPr>
                                <w:i/>
                                <w:iCs/>
                              </w:rPr>
                              <w:t xml:space="preserve"> </w:t>
                            </w:r>
                            <w:r>
                              <w:rPr>
                                <w:iCs/>
                              </w:rPr>
                              <w:t xml:space="preserve">Blue fill represents low-similarity avatars and grey fill depicts high-similarity avatars. Hatched plots show high mimicry avatars and un-hatched plots denote low-mimicry avatars. </w:t>
                            </w:r>
                            <w:r>
                              <w:t>Within each violin, white dots represent the median and the white notches the 95%CI of the median, the horizontal lines show the means, the dark gray bars represent the interquartile range (IQR), and the light gray lines represent 1.5 times the IQR. The shape of the violin shows the probability density function of the data distribution. Individual data points are represented by coloured dots.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B36F" id="Text Box 7" o:spid="_x0000_s1027" type="#_x0000_t202" style="position:absolute;margin-left:-6.6pt;margin-top:18pt;width:489.45pt;height:4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" fillcolor="white [3201]" stroked="f" strokeweight=".5pt">
                <v:textbox>
                  <w:txbxContent>
                    <w:p w14:paraId="1F4A6A06" w14:textId="77777777" w:rsidR="00B40BE5" w:rsidRDefault="00B40BE5" w:rsidP="00B40BE5">
                      <w:r>
                        <w:rPr>
                          <w:noProof/>
                          <w:lang w:val="en-US"/>
                        </w:rPr>
                        <w:drawing>
                          <wp:inline distT="0" distB="0" distL="0" distR="0" wp14:anchorId="2F22CCDB" wp14:editId="6519BF87">
                            <wp:extent cx="5936545" cy="3280096"/>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5"/>
                                    <a:stretch>
                                      <a:fillRect/>
                                    </a:stretch>
                                  </pic:blipFill>
                                  <pic:spPr>
                                    <a:xfrm>
                                      <a:off x="0" y="0"/>
                                      <a:ext cx="5968853" cy="3297947"/>
                                    </a:xfrm>
                                    <a:prstGeom prst="rect">
                                      <a:avLst/>
                                    </a:prstGeom>
                                  </pic:spPr>
                                </pic:pic>
                              </a:graphicData>
                            </a:graphic>
                          </wp:inline>
                        </w:drawing>
                      </w:r>
                    </w:p>
                    <w:p w14:paraId="04D2233A" w14:textId="77777777" w:rsidR="00B40BE5" w:rsidRPr="00A311D0" w:rsidRDefault="00B40BE5" w:rsidP="00B40BE5">
                      <w:pPr>
                        <w:rPr>
                          <w:i/>
                          <w:iCs/>
                        </w:rPr>
                      </w:pPr>
                      <w:r w:rsidRPr="00FC1685">
                        <w:rPr>
                          <w:i/>
                          <w:iCs/>
                        </w:rPr>
                        <w:t xml:space="preserve">Figure </w:t>
                      </w:r>
                      <w:r w:rsidRPr="008D5D18">
                        <w:rPr>
                          <w:i/>
                          <w:iCs/>
                        </w:rPr>
                        <w:t>S2</w:t>
                      </w:r>
                      <w:r w:rsidRPr="00FC1685">
                        <w:rPr>
                          <w:i/>
                          <w:iCs/>
                        </w:rPr>
                        <w:t>.</w:t>
                      </w:r>
                      <w:r w:rsidRPr="00FC1685">
                        <w:t xml:space="preserve"> </w:t>
                      </w:r>
                      <w:r w:rsidRPr="00FC1685">
                        <w:rPr>
                          <w:i/>
                          <w:iCs/>
                        </w:rPr>
                        <w:t>Average emoji feedback chosen by participants for each avatar a) when responses to the similarity manipulation matched and b) when responses to the similarity manipulation did not match</w:t>
                      </w:r>
                      <w:r w:rsidRPr="00DA59E9">
                        <w:rPr>
                          <w:i/>
                          <w:iCs/>
                        </w:rPr>
                        <w:t>.</w:t>
                      </w:r>
                      <w:r w:rsidRPr="008738D4">
                        <w:rPr>
                          <w:i/>
                          <w:iCs/>
                        </w:rPr>
                        <w:t xml:space="preserve"> </w:t>
                      </w:r>
                      <w:r>
                        <w:rPr>
                          <w:iCs/>
                        </w:rPr>
                        <w:t xml:space="preserve">Blue fill represents low-similarity avatars and grey fill depicts high-similarity avatars. Hatched plots show high mimicry avatars and un-hatched plots denote low-mimicry avatars. </w:t>
                      </w:r>
                      <w:r>
                        <w:t>Within each violin, white dots represent the median and the white notches the 95%CI of the median, the horizontal lines show the means, the dark gray bars represent the interquartile range (IQR), and the light gray lines represent 1.5 times the IQR. The shape of the violin shows the probability density function of the data distribution. Individual data points are represented by coloured dots.</w:t>
                      </w:r>
                    </w:p>
                  </w:txbxContent>
                </v:textbox>
              </v:shape>
            </w:pict>
          </mc:Fallback>
        </mc:AlternateContent>
      </w:r>
    </w:p>
    <w:p w14:paraId="3B638678" w14:textId="77777777" w:rsidR="00DE6E2F" w:rsidRDefault="00DE6E2F"/>
    <w:sectPr w:rsidR="00DE6E2F" w:rsidSect="00A60F6A">
      <w:footerReference w:type="even" r:id="rId6"/>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4BF0" w14:textId="77777777" w:rsidR="00143EC3" w:rsidRDefault="00B40BE5" w:rsidP="008738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022E8" w14:textId="77777777" w:rsidR="00143EC3" w:rsidRDefault="00B40B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8878115"/>
      <w:docPartObj>
        <w:docPartGallery w:val="Page Numbers (Bottom of Page)"/>
        <w:docPartUnique/>
      </w:docPartObj>
    </w:sdtPr>
    <w:sdtEndPr>
      <w:rPr>
        <w:rStyle w:val="PageNumber"/>
      </w:rPr>
    </w:sdtEndPr>
    <w:sdtContent>
      <w:p w14:paraId="244F89F8" w14:textId="77777777" w:rsidR="008738D4" w:rsidRDefault="00B40BE5" w:rsidP="006D5C95">
        <w:pPr>
          <w:pStyle w:val="Footer"/>
          <w:framePr w:wrap="none" w:vAnchor="text" w:hAnchor="margin" w:xAlign="center" w:y="1"/>
          <w:rPr>
            <w:rStyle w:val="PageNumber"/>
          </w:rPr>
        </w:pPr>
        <w:r w:rsidRPr="008738D4">
          <w:rPr>
            <w:rStyle w:val="PageNumber"/>
            <w:rFonts w:ascii="Times New Roman" w:hAnsi="Times New Roman" w:cs="Times New Roman"/>
          </w:rPr>
          <w:fldChar w:fldCharType="begin"/>
        </w:r>
        <w:r w:rsidRPr="008738D4">
          <w:rPr>
            <w:rStyle w:val="PageNumber"/>
            <w:rFonts w:ascii="Times New Roman" w:hAnsi="Times New Roman" w:cs="Times New Roman"/>
          </w:rPr>
          <w:instrText xml:space="preserve"> PAGE </w:instrText>
        </w:r>
        <w:r w:rsidRPr="008738D4">
          <w:rPr>
            <w:rStyle w:val="PageNumber"/>
            <w:rFonts w:ascii="Times New Roman" w:hAnsi="Times New Roman" w:cs="Times New Roman"/>
          </w:rPr>
          <w:fldChar w:fldCharType="separate"/>
        </w:r>
        <w:r>
          <w:rPr>
            <w:rStyle w:val="PageNumber"/>
            <w:rFonts w:ascii="Times New Roman" w:hAnsi="Times New Roman" w:cs="Times New Roman"/>
            <w:noProof/>
          </w:rPr>
          <w:t>1</w:t>
        </w:r>
        <w:r w:rsidRPr="008738D4">
          <w:rPr>
            <w:rStyle w:val="PageNumber"/>
            <w:rFonts w:ascii="Times New Roman" w:hAnsi="Times New Roman" w:cs="Times New Roman"/>
          </w:rPr>
          <w:fldChar w:fldCharType="end"/>
        </w:r>
      </w:p>
    </w:sdtContent>
  </w:sdt>
  <w:p w14:paraId="1A6CB694" w14:textId="77777777" w:rsidR="00143EC3" w:rsidRDefault="00B40BE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E5"/>
    <w:rsid w:val="00365F2C"/>
    <w:rsid w:val="00B40BE5"/>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D59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BE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0BE5"/>
    <w:pPr>
      <w:tabs>
        <w:tab w:val="center" w:pos="4680"/>
        <w:tab w:val="right" w:pos="9360"/>
      </w:tabs>
    </w:pPr>
    <w:rPr>
      <w:rFonts w:ascii="Arial" w:eastAsiaTheme="minorHAnsi" w:hAnsi="Arial" w:cs="Arial"/>
    </w:rPr>
  </w:style>
  <w:style w:type="character" w:customStyle="1" w:styleId="FooterChar">
    <w:name w:val="Footer Char"/>
    <w:basedOn w:val="DefaultParagraphFont"/>
    <w:link w:val="Footer"/>
    <w:uiPriority w:val="99"/>
    <w:rsid w:val="00B40BE5"/>
    <w:rPr>
      <w:rFonts w:ascii="Arial" w:hAnsi="Arial" w:cs="Arial"/>
      <w:lang w:val="en-CA"/>
    </w:rPr>
  </w:style>
  <w:style w:type="character" w:styleId="PageNumber">
    <w:name w:val="page number"/>
    <w:basedOn w:val="DefaultParagraphFont"/>
    <w:uiPriority w:val="99"/>
    <w:semiHidden/>
    <w:unhideWhenUsed/>
    <w:rsid w:val="00B4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869</Characters>
  <Application>Microsoft Macintosh Word</Application>
  <DocSecurity>0</DocSecurity>
  <Lines>7</Lines>
  <Paragraphs>2</Paragraphs>
  <ScaleCrop>false</ScaleCrop>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2021-04-27T22:20:00Z</dcterms:created>
  <dcterms:modified xsi:type="dcterms:W3CDTF">2021-04-27T22:22:00Z</dcterms:modified>
</cp:coreProperties>
</file>