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A338" w14:textId="77777777" w:rsidR="005C7D9F" w:rsidRDefault="005C7D9F" w:rsidP="005C7D9F">
      <w:pPr>
        <w:spacing w:line="480" w:lineRule="auto"/>
        <w:jc w:val="center"/>
      </w:pPr>
    </w:p>
    <w:p w14:paraId="1CAD7483" w14:textId="77777777" w:rsidR="005C7D9F" w:rsidRDefault="005C7D9F" w:rsidP="005C7D9F">
      <w:pPr>
        <w:spacing w:line="480" w:lineRule="auto"/>
        <w:jc w:val="center"/>
      </w:pPr>
    </w:p>
    <w:p w14:paraId="455B7EE9" w14:textId="77777777" w:rsidR="005C7D9F" w:rsidRDefault="005C7D9F" w:rsidP="005C7D9F">
      <w:pPr>
        <w:spacing w:line="480" w:lineRule="auto"/>
        <w:jc w:val="center"/>
      </w:pPr>
    </w:p>
    <w:p w14:paraId="622088C2" w14:textId="77777777" w:rsidR="005C7D9F" w:rsidRDefault="005C7D9F" w:rsidP="005C7D9F">
      <w:pPr>
        <w:spacing w:line="480" w:lineRule="auto"/>
        <w:jc w:val="center"/>
      </w:pPr>
    </w:p>
    <w:p w14:paraId="152B6BB2" w14:textId="7BF21461" w:rsidR="005C7D9F" w:rsidRDefault="005C7D9F" w:rsidP="005C7D9F">
      <w:pPr>
        <w:spacing w:line="480" w:lineRule="auto"/>
        <w:jc w:val="center"/>
      </w:pPr>
      <w:r>
        <w:t xml:space="preserve">Supplementary </w:t>
      </w:r>
      <w:r w:rsidR="00CB62B6">
        <w:t>M</w:t>
      </w:r>
      <w:r>
        <w:t>aterial to</w:t>
      </w:r>
      <w:r w:rsidR="004C3211">
        <w:t>:</w:t>
      </w:r>
    </w:p>
    <w:p w14:paraId="3DCF50C0" w14:textId="2C8F7EFC" w:rsidR="00274AB1" w:rsidRPr="000A7087" w:rsidRDefault="00274AB1" w:rsidP="00274AB1">
      <w:pPr>
        <w:spacing w:line="480" w:lineRule="auto"/>
        <w:jc w:val="center"/>
      </w:pPr>
      <w:r>
        <w:t>Social Affect Regulation in University Students During the COVID-19 Pandemic</w:t>
      </w:r>
    </w:p>
    <w:p w14:paraId="55599B5B" w14:textId="77777777" w:rsidR="005C7D9F" w:rsidRDefault="005C7D9F" w:rsidP="005C7D9F">
      <w:pPr>
        <w:spacing w:line="480" w:lineRule="auto"/>
        <w:jc w:val="center"/>
      </w:pPr>
    </w:p>
    <w:p w14:paraId="69A9E871" w14:textId="0FA8FEE1" w:rsidR="005C7D9F" w:rsidRPr="000A7087" w:rsidRDefault="004C3211" w:rsidP="005C7D9F">
      <w:pPr>
        <w:spacing w:line="480" w:lineRule="auto"/>
        <w:jc w:val="center"/>
      </w:pPr>
      <w:r>
        <w:t xml:space="preserve">In </w:t>
      </w:r>
      <w:r w:rsidR="0094191E">
        <w:rPr>
          <w:i/>
          <w:iCs/>
        </w:rPr>
        <w:t>Collabra: Psychology</w:t>
      </w:r>
    </w:p>
    <w:p w14:paraId="364736F4" w14:textId="77777777" w:rsidR="005C7D9F" w:rsidRPr="000A7087" w:rsidRDefault="005C7D9F" w:rsidP="005C7D9F">
      <w:pPr>
        <w:spacing w:line="480" w:lineRule="auto"/>
        <w:jc w:val="center"/>
      </w:pPr>
    </w:p>
    <w:p w14:paraId="6A1E3CF9" w14:textId="77777777" w:rsidR="005C7D9F" w:rsidRDefault="005C7D9F" w:rsidP="005C7D9F">
      <w:pPr>
        <w:spacing w:line="480" w:lineRule="auto"/>
        <w:jc w:val="center"/>
      </w:pPr>
    </w:p>
    <w:p w14:paraId="2516110C" w14:textId="77777777" w:rsidR="005C7D9F" w:rsidRDefault="005C7D9F" w:rsidP="005C7D9F">
      <w:pPr>
        <w:spacing w:line="480" w:lineRule="auto"/>
        <w:jc w:val="center"/>
      </w:pPr>
    </w:p>
    <w:p w14:paraId="5A98C51C" w14:textId="77777777" w:rsidR="00C668B0" w:rsidRDefault="00C668B0" w:rsidP="00274AB1">
      <w:pPr>
        <w:spacing w:line="480" w:lineRule="auto"/>
      </w:pPr>
    </w:p>
    <w:p w14:paraId="31CEB583" w14:textId="18074677" w:rsidR="005C7D9F" w:rsidRDefault="005C7D9F" w:rsidP="005C7D9F">
      <w:pPr>
        <w:spacing w:line="480" w:lineRule="auto"/>
        <w:jc w:val="center"/>
      </w:pPr>
    </w:p>
    <w:p w14:paraId="6A27108E" w14:textId="77777777" w:rsidR="000C2D09" w:rsidRDefault="000C2D09" w:rsidP="005C7D9F">
      <w:pPr>
        <w:spacing w:line="480" w:lineRule="auto"/>
        <w:jc w:val="center"/>
      </w:pPr>
    </w:p>
    <w:p w14:paraId="62164378" w14:textId="77777777" w:rsidR="00034419" w:rsidRDefault="00034419" w:rsidP="005C7D9F">
      <w:pPr>
        <w:spacing w:line="480" w:lineRule="auto"/>
        <w:jc w:val="center"/>
      </w:pPr>
    </w:p>
    <w:p w14:paraId="0B274D7B" w14:textId="77777777" w:rsidR="005C7D9F" w:rsidRDefault="005C7D9F" w:rsidP="005C7D9F">
      <w:pPr>
        <w:spacing w:line="480" w:lineRule="auto"/>
        <w:jc w:val="center"/>
      </w:pPr>
    </w:p>
    <w:p w14:paraId="6BD75FC5" w14:textId="77777777" w:rsidR="00DC789C" w:rsidRDefault="00DC789C">
      <w:pPr>
        <w:spacing w:after="160" w:line="259" w:lineRule="auto"/>
        <w:jc w:val="left"/>
        <w:rPr>
          <w:rFonts w:asciiTheme="minorHAnsi" w:eastAsia="Times New Roman" w:hAnsiTheme="minorHAnsi"/>
          <w:b/>
          <w:bCs/>
          <w:color w:val="000000"/>
        </w:rPr>
      </w:pPr>
      <w:r>
        <w:rPr>
          <w:rFonts w:asciiTheme="minorHAnsi" w:hAnsiTheme="minorHAnsi"/>
          <w:b/>
          <w:bCs/>
          <w:color w:val="000000"/>
        </w:rPr>
        <w:br w:type="page"/>
      </w:r>
    </w:p>
    <w:p w14:paraId="5A9F476A" w14:textId="169EF987" w:rsidR="00BD713C" w:rsidRDefault="00BD713C" w:rsidP="004F3839">
      <w:pPr>
        <w:pStyle w:val="NormalWeb"/>
        <w:spacing w:before="0" w:beforeAutospacing="0" w:after="0" w:afterAutospacing="0" w:line="480" w:lineRule="auto"/>
        <w:jc w:val="both"/>
        <w:rPr>
          <w:rFonts w:asciiTheme="minorHAnsi" w:hAnsiTheme="minorHAnsi" w:cstheme="minorHAnsi"/>
          <w:b/>
          <w:bCs/>
          <w:color w:val="000000"/>
        </w:rPr>
      </w:pPr>
      <w:r>
        <w:rPr>
          <w:rFonts w:asciiTheme="minorHAnsi" w:hAnsiTheme="minorHAnsi" w:cstheme="minorHAnsi"/>
          <w:b/>
          <w:bCs/>
          <w:color w:val="000000"/>
        </w:rPr>
        <w:lastRenderedPageBreak/>
        <w:t>Deviations From Preregistration</w:t>
      </w:r>
    </w:p>
    <w:p w14:paraId="72B512EE" w14:textId="43EF973F" w:rsidR="00BD713C" w:rsidRPr="00A26126" w:rsidRDefault="00B33D07" w:rsidP="00B33D07">
      <w:pPr>
        <w:pStyle w:val="NormalWeb"/>
        <w:spacing w:before="0" w:beforeAutospacing="0" w:after="0" w:afterAutospacing="0" w:line="480" w:lineRule="auto"/>
        <w:ind w:firstLine="720"/>
        <w:jc w:val="both"/>
        <w:rPr>
          <w:rFonts w:asciiTheme="minorHAnsi" w:hAnsiTheme="minorHAnsi" w:cstheme="minorHAnsi"/>
        </w:rPr>
      </w:pPr>
      <w:r>
        <w:rPr>
          <w:rFonts w:asciiTheme="minorHAnsi" w:hAnsiTheme="minorHAnsi" w:cstheme="minorHAnsi"/>
        </w:rPr>
        <w:t>F</w:t>
      </w:r>
      <w:r w:rsidR="00BD713C">
        <w:rPr>
          <w:rFonts w:asciiTheme="minorHAnsi" w:hAnsiTheme="minorHAnsi" w:cstheme="minorHAnsi"/>
        </w:rPr>
        <w:t xml:space="preserve">or Hypotheses 1 and 2, we inadvertently neglected to specify the </w:t>
      </w:r>
      <w:r w:rsidR="00B40F4E">
        <w:rPr>
          <w:rFonts w:asciiTheme="minorHAnsi" w:hAnsiTheme="minorHAnsi" w:cstheme="minorHAnsi"/>
        </w:rPr>
        <w:t xml:space="preserve">predicted </w:t>
      </w:r>
      <w:r w:rsidR="00BD713C">
        <w:rPr>
          <w:rFonts w:asciiTheme="minorHAnsi" w:hAnsiTheme="minorHAnsi" w:cstheme="minorHAnsi"/>
        </w:rPr>
        <w:t xml:space="preserve">direction of association in the preregistration, but the effect directions stated for these hypotheses in the main </w:t>
      </w:r>
      <w:r>
        <w:rPr>
          <w:rFonts w:asciiTheme="minorHAnsi" w:hAnsiTheme="minorHAnsi" w:cstheme="minorHAnsi"/>
        </w:rPr>
        <w:t>text</w:t>
      </w:r>
      <w:r w:rsidR="00BD713C">
        <w:rPr>
          <w:rFonts w:asciiTheme="minorHAnsi" w:hAnsiTheme="minorHAnsi" w:cstheme="minorHAnsi"/>
        </w:rPr>
        <w:t xml:space="preserve"> reflect our a priori predictions.</w:t>
      </w:r>
      <w:r>
        <w:rPr>
          <w:rFonts w:asciiTheme="minorHAnsi" w:hAnsiTheme="minorHAnsi" w:cstheme="minorHAnsi"/>
        </w:rPr>
        <w:t xml:space="preserve"> Also, we reordered </w:t>
      </w:r>
      <w:r w:rsidR="003A0D08">
        <w:rPr>
          <w:rFonts w:asciiTheme="minorHAnsi" w:hAnsiTheme="minorHAnsi" w:cstheme="minorHAnsi"/>
        </w:rPr>
        <w:t xml:space="preserve">and divided </w:t>
      </w:r>
      <w:r>
        <w:rPr>
          <w:rFonts w:asciiTheme="minorHAnsi" w:hAnsiTheme="minorHAnsi" w:cstheme="minorHAnsi"/>
        </w:rPr>
        <w:t xml:space="preserve">the hypotheses </w:t>
      </w:r>
      <w:r w:rsidR="003A0D08">
        <w:rPr>
          <w:rFonts w:asciiTheme="minorHAnsi" w:hAnsiTheme="minorHAnsi" w:cstheme="minorHAnsi"/>
        </w:rPr>
        <w:t>between the</w:t>
      </w:r>
      <w:r>
        <w:rPr>
          <w:rFonts w:asciiTheme="minorHAnsi" w:hAnsiTheme="minorHAnsi" w:cstheme="minorHAnsi"/>
        </w:rPr>
        <w:t xml:space="preserve"> main text</w:t>
      </w:r>
      <w:r w:rsidR="003A0D08">
        <w:rPr>
          <w:rFonts w:asciiTheme="minorHAnsi" w:hAnsiTheme="minorHAnsi" w:cstheme="minorHAnsi"/>
        </w:rPr>
        <w:t xml:space="preserve"> and supplementary material</w:t>
      </w:r>
      <w:r>
        <w:rPr>
          <w:rFonts w:asciiTheme="minorHAnsi" w:hAnsiTheme="minorHAnsi" w:cstheme="minorHAnsi"/>
        </w:rPr>
        <w:t xml:space="preserve"> with respect to the</w:t>
      </w:r>
      <w:r w:rsidR="003A0D08">
        <w:rPr>
          <w:rFonts w:asciiTheme="minorHAnsi" w:hAnsiTheme="minorHAnsi" w:cstheme="minorHAnsi"/>
        </w:rPr>
        <w:t>ir presentation in the</w:t>
      </w:r>
      <w:r>
        <w:rPr>
          <w:rFonts w:asciiTheme="minorHAnsi" w:hAnsiTheme="minorHAnsi" w:cstheme="minorHAnsi"/>
        </w:rPr>
        <w:t xml:space="preserve"> preregistration</w:t>
      </w:r>
      <w:r w:rsidR="003A0D08">
        <w:rPr>
          <w:rFonts w:asciiTheme="minorHAnsi" w:hAnsiTheme="minorHAnsi" w:cstheme="minorHAnsi"/>
        </w:rPr>
        <w:t>, but all aspects of all preregistered hypotheses were addressed.</w:t>
      </w:r>
      <w:r>
        <w:rPr>
          <w:rFonts w:asciiTheme="minorHAnsi" w:hAnsiTheme="minorHAnsi" w:cstheme="minorHAnsi"/>
        </w:rPr>
        <w:t xml:space="preserve"> Second, the set of categories reported in this article </w:t>
      </w:r>
      <w:r w:rsidR="00A12D73">
        <w:rPr>
          <w:rFonts w:asciiTheme="minorHAnsi" w:hAnsiTheme="minorHAnsi" w:cstheme="minorHAnsi"/>
        </w:rPr>
        <w:t xml:space="preserve">for the free-response coping actions and experiences </w:t>
      </w:r>
      <w:r>
        <w:rPr>
          <w:rFonts w:asciiTheme="minorHAnsi" w:hAnsiTheme="minorHAnsi" w:cstheme="minorHAnsi"/>
        </w:rPr>
        <w:t xml:space="preserve">includes one category </w:t>
      </w:r>
      <w:r w:rsidR="001C7FE4">
        <w:rPr>
          <w:rFonts w:asciiTheme="minorHAnsi" w:hAnsiTheme="minorHAnsi" w:cstheme="minorHAnsi"/>
        </w:rPr>
        <w:t xml:space="preserve">(Going Out) </w:t>
      </w:r>
      <w:r>
        <w:rPr>
          <w:rFonts w:asciiTheme="minorHAnsi" w:hAnsiTheme="minorHAnsi" w:cstheme="minorHAnsi"/>
        </w:rPr>
        <w:t>in addition to those named in the preregistration. This category was added through consensus of the research team during the coding of the data from the current study. Third</w:t>
      </w:r>
      <w:r w:rsidRPr="00B33D07">
        <w:rPr>
          <w:rFonts w:asciiTheme="minorHAnsi" w:hAnsiTheme="minorHAnsi" w:cstheme="minorHAnsi"/>
        </w:rPr>
        <w:t xml:space="preserve">, two psychometric questionnaires were collected in addition to those reported and analyzed </w:t>
      </w:r>
      <w:r>
        <w:rPr>
          <w:rFonts w:asciiTheme="minorHAnsi" w:hAnsiTheme="minorHAnsi" w:cstheme="minorHAnsi"/>
        </w:rPr>
        <w:t>in this article</w:t>
      </w:r>
      <w:r w:rsidRPr="00B33D07">
        <w:rPr>
          <w:rFonts w:asciiTheme="minorHAnsi" w:hAnsiTheme="minorHAnsi" w:cstheme="minorHAnsi"/>
        </w:rPr>
        <w:t xml:space="preserve">: the Emotion Regulation Questionnaire (Gross &amp; John, 2003) and the Brief COPE (Carver, 1997). The preregistration implied that all psychometric measures would be analyzed to evaluate Hypothesis </w:t>
      </w:r>
      <w:r w:rsidR="00387209">
        <w:rPr>
          <w:rFonts w:asciiTheme="minorHAnsi" w:hAnsiTheme="minorHAnsi" w:cstheme="minorHAnsi"/>
        </w:rPr>
        <w:t>S</w:t>
      </w:r>
      <w:r w:rsidR="00DE6BE0">
        <w:rPr>
          <w:rFonts w:asciiTheme="minorHAnsi" w:hAnsiTheme="minorHAnsi" w:cstheme="minorHAnsi"/>
        </w:rPr>
        <w:t>2</w:t>
      </w:r>
      <w:r w:rsidRPr="00B33D07">
        <w:rPr>
          <w:rFonts w:asciiTheme="minorHAnsi" w:hAnsiTheme="minorHAnsi" w:cstheme="minorHAnsi"/>
        </w:rPr>
        <w:t xml:space="preserve">, but these two </w:t>
      </w:r>
      <w:r>
        <w:rPr>
          <w:rFonts w:asciiTheme="minorHAnsi" w:hAnsiTheme="minorHAnsi" w:cstheme="minorHAnsi"/>
        </w:rPr>
        <w:t>were</w:t>
      </w:r>
      <w:r w:rsidRPr="00B33D07">
        <w:rPr>
          <w:rFonts w:asciiTheme="minorHAnsi" w:hAnsiTheme="minorHAnsi" w:cstheme="minorHAnsi"/>
        </w:rPr>
        <w:t xml:space="preserve"> not relevant to this hypothesis because they measure affect regulation tendencies rather than mental health symptoms.</w:t>
      </w:r>
      <w:r w:rsidR="00A26126">
        <w:rPr>
          <w:rFonts w:asciiTheme="minorHAnsi" w:hAnsiTheme="minorHAnsi" w:cstheme="minorHAnsi"/>
        </w:rPr>
        <w:t xml:space="preserve"> Finally, the preregistration simply stated that </w:t>
      </w:r>
      <w:r w:rsidR="00A26126">
        <w:rPr>
          <w:rFonts w:asciiTheme="minorHAnsi" w:hAnsiTheme="minorHAnsi" w:cstheme="minorHAnsi"/>
          <w:i/>
          <w:iCs/>
        </w:rPr>
        <w:t xml:space="preserve">p </w:t>
      </w:r>
      <w:r w:rsidR="00A26126">
        <w:rPr>
          <w:rFonts w:asciiTheme="minorHAnsi" w:hAnsiTheme="minorHAnsi" w:cstheme="minorHAnsi"/>
        </w:rPr>
        <w:t>&lt; .05 would be used as the threshold for significance for all analyses. However, we were advised during the review process to adjust this threshold for multiple testing for the correlation analyses, given the larger number of tests for this set of analyses</w:t>
      </w:r>
      <w:r w:rsidR="00B67843">
        <w:rPr>
          <w:rFonts w:asciiTheme="minorHAnsi" w:hAnsiTheme="minorHAnsi" w:cstheme="minorHAnsi"/>
        </w:rPr>
        <w:t>, which we have done</w:t>
      </w:r>
      <w:r w:rsidR="00A26126">
        <w:rPr>
          <w:rFonts w:asciiTheme="minorHAnsi" w:hAnsiTheme="minorHAnsi" w:cstheme="minorHAnsi"/>
        </w:rPr>
        <w:t>.</w:t>
      </w:r>
    </w:p>
    <w:p w14:paraId="3BF62F38" w14:textId="77777777" w:rsidR="004A5FC4" w:rsidRPr="00034419" w:rsidRDefault="004A5FC4" w:rsidP="004A5FC4">
      <w:pPr>
        <w:spacing w:line="480" w:lineRule="auto"/>
        <w:rPr>
          <w:b/>
        </w:rPr>
      </w:pPr>
      <w:r w:rsidRPr="00034419">
        <w:rPr>
          <w:b/>
        </w:rPr>
        <w:t>Free-Response Coping Actions and Experiences</w:t>
      </w:r>
    </w:p>
    <w:p w14:paraId="6E7E5C92" w14:textId="4123E815" w:rsidR="004A5FC4" w:rsidRDefault="004A5FC4" w:rsidP="004A5FC4">
      <w:pPr>
        <w:spacing w:line="480" w:lineRule="auto"/>
        <w:rPr>
          <w:bCs/>
        </w:rPr>
      </w:pPr>
      <w:r>
        <w:tab/>
        <w:t xml:space="preserve">All coping responses from the Pandemic Coping Questionnaire were coded into categories by two independent raters. Follow-up procedures were used to resolve any discrepancies (details described in the main text). To provide further explanation of the </w:t>
      </w:r>
      <w:r>
        <w:lastRenderedPageBreak/>
        <w:t xml:space="preserve">categories listed in Figure 2, responses were coded as </w:t>
      </w:r>
      <w:r>
        <w:rPr>
          <w:i/>
          <w:iCs/>
        </w:rPr>
        <w:t>M</w:t>
      </w:r>
      <w:r w:rsidRPr="00C308E5">
        <w:rPr>
          <w:i/>
          <w:iCs/>
        </w:rPr>
        <w:t>edia</w:t>
      </w:r>
      <w:r>
        <w:t xml:space="preserve"> if they involved consuming media (e.g., television, movies, internet videos, music, books, social media). Responses were coded as </w:t>
      </w:r>
      <w:r>
        <w:rPr>
          <w:i/>
          <w:iCs/>
        </w:rPr>
        <w:t>Non-Family Social</w:t>
      </w:r>
      <w:r>
        <w:t xml:space="preserve"> if they involved actively communicating or interacting with friends, significant others, or intimate partners (i.e., social contacts other than traditional family members). Responses were coded as </w:t>
      </w:r>
      <w:r>
        <w:rPr>
          <w:i/>
          <w:iCs/>
        </w:rPr>
        <w:t>E</w:t>
      </w:r>
      <w:r w:rsidRPr="00C308E5">
        <w:rPr>
          <w:i/>
          <w:iCs/>
        </w:rPr>
        <w:t>xercise</w:t>
      </w:r>
      <w:r>
        <w:t xml:space="preserve"> if they involved any activities traditionally used as forms of exercise (e.g., running, taking walks, going to the gym, dancing) or activities centrally involving moderate-to-high physical activity (e.g., roller-skating). Responses were coded as </w:t>
      </w:r>
      <w:r>
        <w:rPr>
          <w:i/>
          <w:iCs/>
        </w:rPr>
        <w:t>G</w:t>
      </w:r>
      <w:r w:rsidRPr="00C308E5">
        <w:rPr>
          <w:i/>
          <w:iCs/>
        </w:rPr>
        <w:t xml:space="preserve">oing </w:t>
      </w:r>
      <w:r>
        <w:rPr>
          <w:i/>
          <w:iCs/>
        </w:rPr>
        <w:t>O</w:t>
      </w:r>
      <w:r w:rsidRPr="00C308E5">
        <w:rPr>
          <w:i/>
          <w:iCs/>
        </w:rPr>
        <w:t>ut</w:t>
      </w:r>
      <w:r>
        <w:t xml:space="preserve"> if they centrally involved doing an activity away from the respondent’s residence (e.g., traveling, going for a drive, going to restaurants, going to parks). Responses were coded as </w:t>
      </w:r>
      <w:r>
        <w:rPr>
          <w:i/>
          <w:iCs/>
        </w:rPr>
        <w:t>M</w:t>
      </w:r>
      <w:r w:rsidRPr="00C308E5">
        <w:rPr>
          <w:i/>
          <w:iCs/>
        </w:rPr>
        <w:t>ental</w:t>
      </w:r>
      <w:r>
        <w:t xml:space="preserve"> if they emphasized mental activity (e.g., thinking about “X,” meditating, praying, journaling, therapy, reflecting on “X”). Responses were coded as </w:t>
      </w:r>
      <w:r>
        <w:rPr>
          <w:i/>
          <w:iCs/>
        </w:rPr>
        <w:t>F</w:t>
      </w:r>
      <w:r w:rsidRPr="00C308E5">
        <w:rPr>
          <w:i/>
          <w:iCs/>
        </w:rPr>
        <w:t>ood</w:t>
      </w:r>
      <w:r>
        <w:t xml:space="preserve"> if they centrally involved the making or consumption of food (e.g., baking, cooking, eating, getting food). Responses were coded as </w:t>
      </w:r>
      <w:r w:rsidRPr="001B745A">
        <w:rPr>
          <w:i/>
          <w:iCs/>
        </w:rPr>
        <w:t>A</w:t>
      </w:r>
      <w:r w:rsidRPr="00C308E5">
        <w:rPr>
          <w:i/>
          <w:iCs/>
        </w:rPr>
        <w:t>rts</w:t>
      </w:r>
      <w:r>
        <w:t xml:space="preserve"> if they involved the creation of arts or crafts (e.g., painting, drawing, knitting, coloring, making music). Responses were coded as </w:t>
      </w:r>
      <w:r>
        <w:rPr>
          <w:i/>
          <w:iCs/>
        </w:rPr>
        <w:t>F</w:t>
      </w:r>
      <w:r w:rsidRPr="00C308E5">
        <w:rPr>
          <w:i/>
          <w:iCs/>
        </w:rPr>
        <w:t>amily</w:t>
      </w:r>
      <w:r>
        <w:t xml:space="preserve"> if they involved actively communicating or interacting with family members. Responses were coded as </w:t>
      </w:r>
      <w:r>
        <w:rPr>
          <w:i/>
          <w:iCs/>
        </w:rPr>
        <w:t>G</w:t>
      </w:r>
      <w:r w:rsidRPr="00C308E5">
        <w:rPr>
          <w:i/>
          <w:iCs/>
        </w:rPr>
        <w:t>ames</w:t>
      </w:r>
      <w:r>
        <w:t xml:space="preserve"> if they involved traditional physical games (e.g., card games, board games) or digital games (e.g., computer/online games, console-based video games). Responses were coded as </w:t>
      </w:r>
      <w:r>
        <w:rPr>
          <w:i/>
          <w:iCs/>
        </w:rPr>
        <w:t>P</w:t>
      </w:r>
      <w:r w:rsidRPr="00C308E5">
        <w:rPr>
          <w:i/>
          <w:iCs/>
        </w:rPr>
        <w:t>ets</w:t>
      </w:r>
      <w:r>
        <w:t xml:space="preserve"> if they involved interacting with pets. Finally, responses were coded as </w:t>
      </w:r>
      <w:r>
        <w:rPr>
          <w:i/>
          <w:iCs/>
        </w:rPr>
        <w:t>O</w:t>
      </w:r>
      <w:r w:rsidRPr="00C308E5">
        <w:rPr>
          <w:i/>
          <w:iCs/>
        </w:rPr>
        <w:t>ther</w:t>
      </w:r>
      <w:r>
        <w:t xml:space="preserve"> if they had components that did not fall within any of the named categories. </w:t>
      </w:r>
    </w:p>
    <w:p w14:paraId="00B23618" w14:textId="6F28E04D" w:rsidR="004A5FC4" w:rsidRDefault="004A5FC4" w:rsidP="004A5FC4">
      <w:pPr>
        <w:pStyle w:val="NormalWeb"/>
        <w:spacing w:before="0" w:beforeAutospacing="0" w:after="0" w:afterAutospacing="0" w:line="480" w:lineRule="auto"/>
        <w:ind w:firstLine="720"/>
        <w:jc w:val="both"/>
        <w:rPr>
          <w:rFonts w:asciiTheme="minorHAnsi" w:hAnsiTheme="minorHAnsi" w:cstheme="minorHAnsi"/>
        </w:rPr>
      </w:pPr>
      <w:r w:rsidRPr="004031C6">
        <w:rPr>
          <w:rFonts w:asciiTheme="minorHAnsi" w:hAnsiTheme="minorHAnsi" w:cstheme="minorHAnsi"/>
        </w:rPr>
        <w:t xml:space="preserve">Allowing participants to nominate their most effective coping activities through free response yielded an interesting finding: </w:t>
      </w:r>
      <w:r>
        <w:rPr>
          <w:rFonts w:asciiTheme="minorHAnsi" w:hAnsiTheme="minorHAnsi" w:cstheme="minorHAnsi"/>
        </w:rPr>
        <w:t>only three instances</w:t>
      </w:r>
      <w:r w:rsidRPr="004031C6">
        <w:rPr>
          <w:rFonts w:asciiTheme="minorHAnsi" w:hAnsiTheme="minorHAnsi" w:cstheme="minorHAnsi"/>
        </w:rPr>
        <w:t xml:space="preserve"> </w:t>
      </w:r>
      <w:r>
        <w:rPr>
          <w:rFonts w:asciiTheme="minorHAnsi" w:hAnsiTheme="minorHAnsi" w:cstheme="minorHAnsi"/>
        </w:rPr>
        <w:t xml:space="preserve">explicitly describing </w:t>
      </w:r>
      <w:r w:rsidRPr="004031C6">
        <w:rPr>
          <w:rFonts w:asciiTheme="minorHAnsi" w:hAnsiTheme="minorHAnsi" w:cstheme="minorHAnsi"/>
        </w:rPr>
        <w:t>reappraisal w</w:t>
      </w:r>
      <w:r>
        <w:rPr>
          <w:rFonts w:asciiTheme="minorHAnsi" w:hAnsiTheme="minorHAnsi" w:cstheme="minorHAnsi"/>
        </w:rPr>
        <w:t>ere</w:t>
      </w:r>
      <w:r w:rsidRPr="004031C6">
        <w:rPr>
          <w:rFonts w:asciiTheme="minorHAnsi" w:hAnsiTheme="minorHAnsi" w:cstheme="minorHAnsi"/>
        </w:rPr>
        <w:t xml:space="preserve"> nominated</w:t>
      </w:r>
      <w:r>
        <w:rPr>
          <w:rFonts w:asciiTheme="minorHAnsi" w:hAnsiTheme="minorHAnsi" w:cstheme="minorHAnsi"/>
        </w:rPr>
        <w:t xml:space="preserve">. Furthermore, only about one third of participants nominated some mentally </w:t>
      </w:r>
      <w:r>
        <w:rPr>
          <w:rFonts w:asciiTheme="minorHAnsi" w:hAnsiTheme="minorHAnsi" w:cstheme="minorHAnsi"/>
        </w:rPr>
        <w:lastRenderedPageBreak/>
        <w:t>focused form of regulation, despite the fact that p</w:t>
      </w:r>
      <w:r w:rsidRPr="004031C6">
        <w:rPr>
          <w:rFonts w:asciiTheme="minorHAnsi" w:hAnsiTheme="minorHAnsi" w:cstheme="minorHAnsi"/>
        </w:rPr>
        <w:t>articipants were prompted that responses could include actions or experiences that were either mental or behavioral</w:t>
      </w:r>
      <w:r>
        <w:rPr>
          <w:rFonts w:asciiTheme="minorHAnsi" w:hAnsiTheme="minorHAnsi" w:cstheme="minorHAnsi"/>
        </w:rPr>
        <w:t>.</w:t>
      </w:r>
      <w:r w:rsidRPr="004031C6">
        <w:rPr>
          <w:rFonts w:asciiTheme="minorHAnsi" w:hAnsiTheme="minorHAnsi" w:cstheme="minorHAnsi"/>
        </w:rPr>
        <w:t xml:space="preserve"> One possibility is that students spontaneously use cognitive approaches for affect regulation less frequently than behavioral approaches, and their nominations accurately reflect their preferred affect regulation </w:t>
      </w:r>
      <w:r>
        <w:rPr>
          <w:rFonts w:asciiTheme="minorHAnsi" w:hAnsiTheme="minorHAnsi" w:cstheme="minorHAnsi"/>
        </w:rPr>
        <w:t>approaches</w:t>
      </w:r>
      <w:r w:rsidRPr="004031C6">
        <w:rPr>
          <w:rFonts w:asciiTheme="minorHAnsi" w:hAnsiTheme="minorHAnsi" w:cstheme="minorHAnsi"/>
        </w:rPr>
        <w:t xml:space="preserve">. Given the evidence on the effectiveness of using strategies such as reappraisal (Gross, 2002; Webb et al., 2012) and meditation (Galante et al., 2014; Goyal et al., 2014) to promote affective health, this finding could indicate that explicit direction or training is needed for most </w:t>
      </w:r>
      <w:r>
        <w:rPr>
          <w:rFonts w:asciiTheme="minorHAnsi" w:hAnsiTheme="minorHAnsi" w:cstheme="minorHAnsi"/>
        </w:rPr>
        <w:t>students</w:t>
      </w:r>
      <w:r w:rsidRPr="004031C6">
        <w:rPr>
          <w:rFonts w:asciiTheme="minorHAnsi" w:hAnsiTheme="minorHAnsi" w:cstheme="minorHAnsi"/>
        </w:rPr>
        <w:t xml:space="preserve"> to derive use and benefit from these strategies (Suri et al., 2015). Another possibility is that students do regularly employ cognitive affect regulation (Gross &amp; John, 2003; Zarotti et al., 2020), but they simply have less awareness of doing so relative to overt behavioral activities; therefore, they did not nominate such activities through free response. In this study, we were specifically interested in examining affect regulation behavior using free response. This approach differs from more common questionnaire (Carver, 1997; Gratz &amp; Roemer, 2004; Gross &amp; John, 2003) or structured-interview approaches (Gross et al., 2006) by assessing respondents’ insight into their affect regulation, without the bias or direction of more specific questions or a list of potential options. This approach d</w:t>
      </w:r>
      <w:r>
        <w:rPr>
          <w:rFonts w:asciiTheme="minorHAnsi" w:hAnsiTheme="minorHAnsi" w:cstheme="minorHAnsi"/>
        </w:rPr>
        <w:t>oes</w:t>
      </w:r>
      <w:r w:rsidRPr="004031C6">
        <w:rPr>
          <w:rFonts w:asciiTheme="minorHAnsi" w:hAnsiTheme="minorHAnsi" w:cstheme="minorHAnsi"/>
        </w:rPr>
        <w:t xml:space="preserve"> incur the risk that participants might have poor insight into some of their cognitions or behaviors, but we believe this risk </w:t>
      </w:r>
      <w:r>
        <w:rPr>
          <w:rFonts w:asciiTheme="minorHAnsi" w:hAnsiTheme="minorHAnsi" w:cstheme="minorHAnsi"/>
        </w:rPr>
        <w:t>wa</w:t>
      </w:r>
      <w:r w:rsidRPr="004031C6">
        <w:rPr>
          <w:rFonts w:asciiTheme="minorHAnsi" w:hAnsiTheme="minorHAnsi" w:cstheme="minorHAnsi"/>
        </w:rPr>
        <w:t xml:space="preserve">s balanced by the value of obtaining authentic self-reports of affect regulation, unconstrained by existing scientific theories and instruments. Within the same survey, these participants </w:t>
      </w:r>
      <w:r>
        <w:rPr>
          <w:rFonts w:asciiTheme="minorHAnsi" w:hAnsiTheme="minorHAnsi" w:cstheme="minorHAnsi"/>
        </w:rPr>
        <w:t xml:space="preserve">did </w:t>
      </w:r>
      <w:r w:rsidRPr="004031C6">
        <w:rPr>
          <w:rFonts w:asciiTheme="minorHAnsi" w:hAnsiTheme="minorHAnsi" w:cstheme="minorHAnsi"/>
        </w:rPr>
        <w:t>endorse</w:t>
      </w:r>
      <w:r>
        <w:rPr>
          <w:rFonts w:asciiTheme="minorHAnsi" w:hAnsiTheme="minorHAnsi" w:cstheme="minorHAnsi"/>
        </w:rPr>
        <w:t xml:space="preserve"> some habitual use of</w:t>
      </w:r>
      <w:r w:rsidRPr="004031C6">
        <w:rPr>
          <w:rFonts w:asciiTheme="minorHAnsi" w:hAnsiTheme="minorHAnsi" w:cstheme="minorHAnsi"/>
        </w:rPr>
        <w:t xml:space="preserve"> reappraisal </w:t>
      </w:r>
      <w:r>
        <w:rPr>
          <w:rFonts w:asciiTheme="minorHAnsi" w:hAnsiTheme="minorHAnsi" w:cstheme="minorHAnsi"/>
        </w:rPr>
        <w:t>on</w:t>
      </w:r>
      <w:r w:rsidRPr="004031C6">
        <w:rPr>
          <w:rFonts w:asciiTheme="minorHAnsi" w:hAnsiTheme="minorHAnsi" w:cstheme="minorHAnsi"/>
        </w:rPr>
        <w:t xml:space="preserve"> </w:t>
      </w:r>
      <w:r>
        <w:rPr>
          <w:rFonts w:asciiTheme="minorHAnsi" w:hAnsiTheme="minorHAnsi" w:cstheme="minorHAnsi"/>
        </w:rPr>
        <w:t xml:space="preserve">the </w:t>
      </w:r>
      <w:r w:rsidRPr="004031C6">
        <w:rPr>
          <w:rFonts w:asciiTheme="minorHAnsi" w:hAnsiTheme="minorHAnsi" w:cstheme="minorHAnsi"/>
        </w:rPr>
        <w:t>E</w:t>
      </w:r>
      <w:r>
        <w:rPr>
          <w:rFonts w:asciiTheme="minorHAnsi" w:hAnsiTheme="minorHAnsi" w:cstheme="minorHAnsi"/>
        </w:rPr>
        <w:t>motion Regulation Questionnaire</w:t>
      </w:r>
      <w:r w:rsidRPr="004031C6">
        <w:rPr>
          <w:rFonts w:asciiTheme="minorHAnsi" w:hAnsiTheme="minorHAnsi" w:cstheme="minorHAnsi"/>
        </w:rPr>
        <w:t xml:space="preserve"> with a mean rating of </w:t>
      </w:r>
      <w:r>
        <w:rPr>
          <w:rFonts w:asciiTheme="minorHAnsi" w:hAnsiTheme="minorHAnsi" w:cstheme="minorHAnsi"/>
        </w:rPr>
        <w:t>4.66</w:t>
      </w:r>
      <w:r w:rsidRPr="004031C6">
        <w:rPr>
          <w:rFonts w:asciiTheme="minorHAnsi" w:hAnsiTheme="minorHAnsi" w:cstheme="minorHAnsi"/>
        </w:rPr>
        <w:t xml:space="preserve"> on a scale of 1 (</w:t>
      </w:r>
      <w:r w:rsidRPr="004031C6">
        <w:rPr>
          <w:rFonts w:asciiTheme="minorHAnsi" w:hAnsiTheme="minorHAnsi" w:cstheme="minorHAnsi"/>
          <w:i/>
          <w:iCs/>
        </w:rPr>
        <w:t>strongly disagree</w:t>
      </w:r>
      <w:r w:rsidRPr="004031C6">
        <w:rPr>
          <w:rFonts w:asciiTheme="minorHAnsi" w:hAnsiTheme="minorHAnsi" w:cstheme="minorHAnsi"/>
        </w:rPr>
        <w:t>) to 4 (</w:t>
      </w:r>
      <w:r w:rsidRPr="004031C6">
        <w:rPr>
          <w:rFonts w:asciiTheme="minorHAnsi" w:hAnsiTheme="minorHAnsi" w:cstheme="minorHAnsi"/>
          <w:i/>
          <w:iCs/>
        </w:rPr>
        <w:t>neutral</w:t>
      </w:r>
      <w:r w:rsidRPr="004031C6">
        <w:rPr>
          <w:rFonts w:asciiTheme="minorHAnsi" w:hAnsiTheme="minorHAnsi" w:cstheme="minorHAnsi"/>
        </w:rPr>
        <w:t>) to 7 (</w:t>
      </w:r>
      <w:r w:rsidRPr="004031C6">
        <w:rPr>
          <w:rFonts w:asciiTheme="minorHAnsi" w:hAnsiTheme="minorHAnsi" w:cstheme="minorHAnsi"/>
          <w:i/>
          <w:iCs/>
        </w:rPr>
        <w:t>strongly agree</w:t>
      </w:r>
      <w:r w:rsidRPr="004031C6">
        <w:rPr>
          <w:rFonts w:asciiTheme="minorHAnsi" w:hAnsiTheme="minorHAnsi" w:cstheme="minorHAnsi"/>
        </w:rPr>
        <w:t xml:space="preserve">). Hopefully, future research will help to explain the source of this apparent inconsistency between questionnaire and free-response </w:t>
      </w:r>
      <w:r w:rsidRPr="004031C6">
        <w:rPr>
          <w:rFonts w:asciiTheme="minorHAnsi" w:hAnsiTheme="minorHAnsi" w:cstheme="minorHAnsi"/>
        </w:rPr>
        <w:lastRenderedPageBreak/>
        <w:t>reports of reappraisal use, whether it be low awareness of reappraisal use or low perceptions of efficacy.</w:t>
      </w:r>
    </w:p>
    <w:p w14:paraId="11CE60FC" w14:textId="256507AA" w:rsidR="004F3839" w:rsidRDefault="00365191" w:rsidP="004F3839">
      <w:pPr>
        <w:pStyle w:val="NormalWeb"/>
        <w:spacing w:before="0" w:beforeAutospacing="0" w:after="0" w:afterAutospacing="0" w:line="480" w:lineRule="auto"/>
        <w:jc w:val="both"/>
        <w:rPr>
          <w:rFonts w:asciiTheme="minorHAnsi" w:hAnsiTheme="minorHAnsi" w:cstheme="minorHAnsi"/>
          <w:b/>
          <w:bCs/>
          <w:color w:val="000000"/>
        </w:rPr>
      </w:pPr>
      <w:r>
        <w:rPr>
          <w:rFonts w:asciiTheme="minorHAnsi" w:hAnsiTheme="minorHAnsi" w:cstheme="minorHAnsi"/>
          <w:b/>
          <w:bCs/>
          <w:color w:val="000000"/>
        </w:rPr>
        <w:t xml:space="preserve">Additional Hypotheses Involving </w:t>
      </w:r>
      <w:r w:rsidR="00387209">
        <w:rPr>
          <w:rFonts w:asciiTheme="minorHAnsi" w:hAnsiTheme="minorHAnsi" w:cstheme="minorHAnsi"/>
          <w:b/>
          <w:bCs/>
          <w:color w:val="000000"/>
        </w:rPr>
        <w:t>Comparisons with</w:t>
      </w:r>
      <w:r w:rsidR="00150860">
        <w:rPr>
          <w:rFonts w:asciiTheme="minorHAnsi" w:hAnsiTheme="minorHAnsi" w:cstheme="minorHAnsi"/>
          <w:b/>
          <w:bCs/>
          <w:color w:val="000000"/>
        </w:rPr>
        <w:t xml:space="preserve"> </w:t>
      </w:r>
      <w:r w:rsidR="00DA1421">
        <w:rPr>
          <w:rFonts w:asciiTheme="minorHAnsi" w:hAnsiTheme="minorHAnsi" w:cstheme="minorHAnsi"/>
          <w:b/>
          <w:bCs/>
          <w:color w:val="000000"/>
        </w:rPr>
        <w:t>a</w:t>
      </w:r>
      <w:r w:rsidR="00B40F4E">
        <w:rPr>
          <w:rFonts w:asciiTheme="minorHAnsi" w:hAnsiTheme="minorHAnsi" w:cstheme="minorHAnsi"/>
          <w:b/>
          <w:bCs/>
          <w:color w:val="000000"/>
        </w:rPr>
        <w:t xml:space="preserve"> Previous Study</w:t>
      </w:r>
    </w:p>
    <w:p w14:paraId="18C6A627" w14:textId="4AEA837D" w:rsidR="00DA1421" w:rsidRPr="00DA1421" w:rsidRDefault="00DA1421" w:rsidP="004F3839">
      <w:pPr>
        <w:pStyle w:val="NormalWeb"/>
        <w:spacing w:before="0" w:beforeAutospacing="0" w:after="0" w:afterAutospacing="0" w:line="480" w:lineRule="auto"/>
        <w:jc w:val="both"/>
        <w:rPr>
          <w:rFonts w:asciiTheme="minorHAnsi" w:hAnsiTheme="minorHAnsi" w:cstheme="minorHAnsi"/>
        </w:rPr>
      </w:pPr>
      <w:r>
        <w:rPr>
          <w:rFonts w:asciiTheme="minorHAnsi" w:hAnsiTheme="minorHAnsi" w:cstheme="minorHAnsi"/>
          <w:color w:val="000000"/>
        </w:rPr>
        <w:tab/>
        <w:t>Shortly after the beginning of the COVID-19 pandemic, we administered a smaller study with very similar materials and methods to the current study reported in the main text. The current study and its preregistration were developed and implemented to follow up on this previous study. Below, we describe the preregistered hypotheses that involve comparisons between the current and previous studies, and the subsequent analyses and results.</w:t>
      </w:r>
    </w:p>
    <w:p w14:paraId="1317A31D" w14:textId="70276A40" w:rsidR="00150860" w:rsidRPr="00150860" w:rsidRDefault="00150860" w:rsidP="00150860">
      <w:pPr>
        <w:spacing w:line="480" w:lineRule="auto"/>
        <w:rPr>
          <w:rStyle w:val="apple-tab-span"/>
          <w:rFonts w:asciiTheme="minorHAnsi" w:hAnsiTheme="minorHAnsi"/>
          <w:b/>
          <w:bCs/>
          <w:i/>
          <w:iCs/>
          <w:color w:val="000000"/>
        </w:rPr>
      </w:pPr>
      <w:r w:rsidRPr="00150860">
        <w:rPr>
          <w:rStyle w:val="apple-tab-span"/>
          <w:rFonts w:asciiTheme="minorHAnsi" w:hAnsiTheme="minorHAnsi"/>
          <w:b/>
          <w:bCs/>
          <w:i/>
          <w:iCs/>
          <w:color w:val="000000"/>
        </w:rPr>
        <w:t>Hypotheses</w:t>
      </w:r>
    </w:p>
    <w:p w14:paraId="33241DA6" w14:textId="5F4D7954" w:rsidR="00150860" w:rsidRPr="00150860" w:rsidRDefault="00D65F6E" w:rsidP="00150860">
      <w:pPr>
        <w:pStyle w:val="NormalWeb"/>
        <w:spacing w:before="0" w:beforeAutospacing="0" w:after="0" w:afterAutospacing="0" w:line="480" w:lineRule="auto"/>
        <w:ind w:firstLine="720"/>
        <w:jc w:val="both"/>
        <w:rPr>
          <w:rStyle w:val="apple-tab-span"/>
          <w:rFonts w:asciiTheme="minorHAnsi" w:hAnsiTheme="minorHAnsi" w:cstheme="minorHAnsi"/>
        </w:rPr>
      </w:pPr>
      <w:r>
        <w:rPr>
          <w:rFonts w:asciiTheme="minorHAnsi" w:hAnsiTheme="minorHAnsi" w:cstheme="minorHAnsi"/>
        </w:rPr>
        <w:t>When analyzing the data from the previous study, we had observed that participants reported changes in levels of social interactions since the pandemic began, and participants reported increased levels of mental health symptoms relative to population normative data reported prior to the pandemic</w:t>
      </w:r>
      <w:r w:rsidR="00AC0CC8">
        <w:rPr>
          <w:rFonts w:asciiTheme="minorHAnsi" w:hAnsiTheme="minorHAnsi" w:cstheme="minorHAnsi"/>
        </w:rPr>
        <w:t xml:space="preserve"> (</w:t>
      </w:r>
      <w:r w:rsidR="00FE7634">
        <w:rPr>
          <w:rFonts w:asciiTheme="minorHAnsi" w:hAnsiTheme="minorHAnsi" w:cstheme="minorHAnsi"/>
        </w:rPr>
        <w:t xml:space="preserve">details reported below; </w:t>
      </w:r>
      <w:r w:rsidR="00AC0CC8">
        <w:rPr>
          <w:rFonts w:asciiTheme="minorHAnsi" w:hAnsiTheme="minorHAnsi" w:cstheme="minorHAnsi"/>
        </w:rPr>
        <w:t>a</w:t>
      </w:r>
      <w:r w:rsidR="00E044DE">
        <w:rPr>
          <w:rFonts w:asciiTheme="minorHAnsi" w:hAnsiTheme="minorHAnsi" w:cstheme="minorHAnsi"/>
        </w:rPr>
        <w:t>s</w:t>
      </w:r>
      <w:r w:rsidR="00AC0CC8">
        <w:rPr>
          <w:rFonts w:asciiTheme="minorHAnsi" w:hAnsiTheme="minorHAnsi" w:cstheme="minorHAnsi"/>
        </w:rPr>
        <w:t xml:space="preserve"> these studies were </w:t>
      </w:r>
      <w:r w:rsidR="00E044DE">
        <w:rPr>
          <w:rFonts w:asciiTheme="minorHAnsi" w:hAnsiTheme="minorHAnsi" w:cstheme="minorHAnsi"/>
        </w:rPr>
        <w:t>cross-sectional, we used these comparisons with normative data to roughly estimate whether our data deviated significantly from what might typically be expected)</w:t>
      </w:r>
      <w:r>
        <w:rPr>
          <w:rFonts w:asciiTheme="minorHAnsi" w:hAnsiTheme="minorHAnsi" w:cstheme="minorHAnsi"/>
        </w:rPr>
        <w:t xml:space="preserve">. As the current study was collected over a year </w:t>
      </w:r>
      <w:r w:rsidR="00AC0CC8">
        <w:rPr>
          <w:rFonts w:asciiTheme="minorHAnsi" w:hAnsiTheme="minorHAnsi" w:cstheme="minorHAnsi"/>
        </w:rPr>
        <w:t>later</w:t>
      </w:r>
      <w:r w:rsidR="009B77FE">
        <w:rPr>
          <w:rFonts w:asciiTheme="minorHAnsi" w:hAnsiTheme="minorHAnsi" w:cstheme="minorHAnsi"/>
        </w:rPr>
        <w:t>, and at a time when pandemic-related restrictions were relaxing</w:t>
      </w:r>
      <w:r>
        <w:rPr>
          <w:rFonts w:asciiTheme="minorHAnsi" w:hAnsiTheme="minorHAnsi" w:cstheme="minorHAnsi"/>
        </w:rPr>
        <w:t>,</w:t>
      </w:r>
      <w:r w:rsidR="00AC0CC8">
        <w:rPr>
          <w:rFonts w:asciiTheme="minorHAnsi" w:hAnsiTheme="minorHAnsi" w:cstheme="minorHAnsi"/>
        </w:rPr>
        <w:t xml:space="preserve"> </w:t>
      </w:r>
      <w:r>
        <w:rPr>
          <w:rFonts w:asciiTheme="minorHAnsi" w:hAnsiTheme="minorHAnsi" w:cstheme="minorHAnsi"/>
        </w:rPr>
        <w:t xml:space="preserve">we predicted </w:t>
      </w:r>
      <w:r w:rsidR="00AC0CC8">
        <w:rPr>
          <w:rFonts w:asciiTheme="minorHAnsi" w:hAnsiTheme="minorHAnsi" w:cstheme="minorHAnsi"/>
        </w:rPr>
        <w:t xml:space="preserve">that effects potentially related to the pandemic, such as these, would have </w:t>
      </w:r>
      <w:r w:rsidR="00213160">
        <w:rPr>
          <w:rFonts w:asciiTheme="minorHAnsi" w:hAnsiTheme="minorHAnsi" w:cstheme="minorHAnsi"/>
        </w:rPr>
        <w:t>diminished</w:t>
      </w:r>
      <w:r w:rsidR="00AC0CC8">
        <w:rPr>
          <w:rFonts w:asciiTheme="minorHAnsi" w:hAnsiTheme="minorHAnsi" w:cstheme="minorHAnsi"/>
        </w:rPr>
        <w:t xml:space="preserve"> due to habituation and </w:t>
      </w:r>
      <w:r w:rsidR="009B77FE">
        <w:rPr>
          <w:rFonts w:asciiTheme="minorHAnsi" w:hAnsiTheme="minorHAnsi" w:cstheme="minorHAnsi"/>
        </w:rPr>
        <w:t xml:space="preserve">other adaptations (e.g., </w:t>
      </w:r>
      <w:r w:rsidR="00213160">
        <w:rPr>
          <w:rFonts w:asciiTheme="minorHAnsi" w:hAnsiTheme="minorHAnsi" w:cstheme="minorHAnsi"/>
        </w:rPr>
        <w:t xml:space="preserve">more </w:t>
      </w:r>
      <w:r w:rsidR="009B77FE">
        <w:rPr>
          <w:rFonts w:asciiTheme="minorHAnsi" w:hAnsiTheme="minorHAnsi" w:cstheme="minorHAnsi"/>
        </w:rPr>
        <w:t>develop</w:t>
      </w:r>
      <w:r w:rsidR="00213160">
        <w:rPr>
          <w:rFonts w:asciiTheme="minorHAnsi" w:hAnsiTheme="minorHAnsi" w:cstheme="minorHAnsi"/>
        </w:rPr>
        <w:t>ed</w:t>
      </w:r>
      <w:r w:rsidR="009B77FE">
        <w:rPr>
          <w:rFonts w:asciiTheme="minorHAnsi" w:hAnsiTheme="minorHAnsi" w:cstheme="minorHAnsi"/>
        </w:rPr>
        <w:t xml:space="preserve"> remote social interaction habits, or returning to more in-person social interactions)</w:t>
      </w:r>
      <w:r w:rsidR="00AC0CC8">
        <w:rPr>
          <w:rFonts w:asciiTheme="minorHAnsi" w:hAnsiTheme="minorHAnsi" w:cstheme="minorHAnsi"/>
        </w:rPr>
        <w:t xml:space="preserve">. Specifically, for </w:t>
      </w:r>
      <w:r w:rsidR="00150860">
        <w:rPr>
          <w:rFonts w:asciiTheme="minorHAnsi" w:hAnsiTheme="minorHAnsi" w:cstheme="minorHAnsi"/>
        </w:rPr>
        <w:t>Hypothesis S1</w:t>
      </w:r>
      <w:r w:rsidR="00AC0CC8">
        <w:rPr>
          <w:rFonts w:asciiTheme="minorHAnsi" w:hAnsiTheme="minorHAnsi" w:cstheme="minorHAnsi"/>
        </w:rPr>
        <w:t>, we predicted that</w:t>
      </w:r>
      <w:r w:rsidR="00150860">
        <w:rPr>
          <w:rFonts w:asciiTheme="minorHAnsi" w:hAnsiTheme="minorHAnsi" w:cstheme="minorHAnsi"/>
        </w:rPr>
        <w:t xml:space="preserve"> changes in levels of social interactions since the pandemic began would be smaller in the current study compared to the previous study. </w:t>
      </w:r>
      <w:r w:rsidR="00AC0CC8">
        <w:rPr>
          <w:rFonts w:asciiTheme="minorHAnsi" w:hAnsiTheme="minorHAnsi" w:cstheme="minorHAnsi"/>
        </w:rPr>
        <w:t xml:space="preserve">For </w:t>
      </w:r>
      <w:r w:rsidR="00150860">
        <w:rPr>
          <w:rFonts w:asciiTheme="minorHAnsi" w:hAnsiTheme="minorHAnsi" w:cstheme="minorHAnsi"/>
        </w:rPr>
        <w:t>Hypothesis S2</w:t>
      </w:r>
      <w:r w:rsidR="00AC0CC8">
        <w:rPr>
          <w:rFonts w:asciiTheme="minorHAnsi" w:hAnsiTheme="minorHAnsi" w:cstheme="minorHAnsi"/>
        </w:rPr>
        <w:t>, we predicted that</w:t>
      </w:r>
      <w:r w:rsidR="00150860">
        <w:rPr>
          <w:rFonts w:asciiTheme="minorHAnsi" w:hAnsiTheme="minorHAnsi" w:cstheme="minorHAnsi"/>
        </w:rPr>
        <w:t xml:space="preserve"> mental health </w:t>
      </w:r>
      <w:r w:rsidR="00150860">
        <w:rPr>
          <w:rFonts w:asciiTheme="minorHAnsi" w:hAnsiTheme="minorHAnsi" w:cstheme="minorHAnsi"/>
        </w:rPr>
        <w:lastRenderedPageBreak/>
        <w:t>symptoms would be lower in the current study compared to the previous study</w:t>
      </w:r>
      <w:r w:rsidR="00365191">
        <w:rPr>
          <w:rFonts w:asciiTheme="minorHAnsi" w:hAnsiTheme="minorHAnsi" w:cstheme="minorHAnsi"/>
        </w:rPr>
        <w:t xml:space="preserve">, and mental health symptoms in the current study would </w:t>
      </w:r>
      <w:r w:rsidR="00AC0CC8">
        <w:rPr>
          <w:rFonts w:asciiTheme="minorHAnsi" w:hAnsiTheme="minorHAnsi" w:cstheme="minorHAnsi"/>
        </w:rPr>
        <w:t>no longer differ</w:t>
      </w:r>
      <w:r w:rsidR="00365191">
        <w:rPr>
          <w:rFonts w:asciiTheme="minorHAnsi" w:hAnsiTheme="minorHAnsi" w:cstheme="minorHAnsi"/>
        </w:rPr>
        <w:t xml:space="preserve"> from </w:t>
      </w:r>
      <w:r w:rsidR="00AC0CC8">
        <w:rPr>
          <w:rFonts w:asciiTheme="minorHAnsi" w:hAnsiTheme="minorHAnsi" w:cstheme="minorHAnsi"/>
        </w:rPr>
        <w:t xml:space="preserve">the </w:t>
      </w:r>
      <w:r w:rsidR="00365191">
        <w:rPr>
          <w:rFonts w:asciiTheme="minorHAnsi" w:hAnsiTheme="minorHAnsi" w:cstheme="minorHAnsi"/>
        </w:rPr>
        <w:t>population normative data</w:t>
      </w:r>
      <w:r w:rsidR="00150860">
        <w:rPr>
          <w:rFonts w:asciiTheme="minorHAnsi" w:hAnsiTheme="minorHAnsi" w:cstheme="minorHAnsi"/>
        </w:rPr>
        <w:t>.</w:t>
      </w:r>
      <w:r w:rsidR="00DE6BE0">
        <w:rPr>
          <w:rFonts w:asciiTheme="minorHAnsi" w:hAnsiTheme="minorHAnsi" w:cstheme="minorHAnsi"/>
        </w:rPr>
        <w:t xml:space="preserve"> </w:t>
      </w:r>
    </w:p>
    <w:p w14:paraId="04ED36B4" w14:textId="630FFBA5" w:rsidR="00150860" w:rsidRPr="00150860" w:rsidRDefault="00150860" w:rsidP="00150860">
      <w:pPr>
        <w:spacing w:line="480" w:lineRule="auto"/>
        <w:rPr>
          <w:rStyle w:val="apple-tab-span"/>
          <w:rFonts w:asciiTheme="minorHAnsi" w:hAnsiTheme="minorHAnsi"/>
          <w:b/>
          <w:bCs/>
          <w:i/>
          <w:iCs/>
          <w:color w:val="000000"/>
        </w:rPr>
      </w:pPr>
      <w:r w:rsidRPr="00150860">
        <w:rPr>
          <w:rStyle w:val="apple-tab-span"/>
          <w:rFonts w:asciiTheme="minorHAnsi" w:hAnsiTheme="minorHAnsi"/>
          <w:b/>
          <w:bCs/>
          <w:i/>
          <w:iCs/>
          <w:color w:val="000000"/>
        </w:rPr>
        <w:t>Participants</w:t>
      </w:r>
    </w:p>
    <w:p w14:paraId="08B6518B" w14:textId="3A9838B3" w:rsidR="004F3839" w:rsidRDefault="004F3839" w:rsidP="004F3839">
      <w:pPr>
        <w:spacing w:line="480" w:lineRule="auto"/>
        <w:ind w:firstLine="720"/>
        <w:rPr>
          <w:b/>
          <w:bCs/>
        </w:rPr>
      </w:pPr>
      <w:r>
        <w:rPr>
          <w:rStyle w:val="apple-tab-span"/>
          <w:rFonts w:asciiTheme="minorHAnsi" w:hAnsiTheme="minorHAnsi"/>
          <w:color w:val="000000"/>
        </w:rPr>
        <w:t xml:space="preserve">For the </w:t>
      </w:r>
      <w:r w:rsidR="00B40F4E">
        <w:rPr>
          <w:rStyle w:val="apple-tab-span"/>
          <w:rFonts w:asciiTheme="minorHAnsi" w:hAnsiTheme="minorHAnsi"/>
          <w:color w:val="000000"/>
        </w:rPr>
        <w:t>previous study,</w:t>
      </w:r>
      <w:r>
        <w:rPr>
          <w:rStyle w:val="apple-tab-span"/>
          <w:rFonts w:asciiTheme="minorHAnsi" w:hAnsiTheme="minorHAnsi"/>
          <w:color w:val="000000"/>
        </w:rPr>
        <w:t xml:space="preserve"> u</w:t>
      </w:r>
      <w:r w:rsidRPr="00831854">
        <w:rPr>
          <w:rFonts w:asciiTheme="minorHAnsi" w:hAnsiTheme="minorHAnsi"/>
          <w:color w:val="000000"/>
        </w:rPr>
        <w:t>ndergraduate</w:t>
      </w:r>
      <w:r w:rsidR="00B40F4E">
        <w:rPr>
          <w:rFonts w:asciiTheme="minorHAnsi" w:hAnsiTheme="minorHAnsi"/>
          <w:color w:val="000000"/>
        </w:rPr>
        <w:t xml:space="preserve"> students</w:t>
      </w:r>
      <w:r w:rsidRPr="00831854">
        <w:rPr>
          <w:rFonts w:asciiTheme="minorHAnsi" w:hAnsiTheme="minorHAnsi"/>
          <w:color w:val="000000"/>
        </w:rPr>
        <w:t xml:space="preserve"> at the University of Denver (</w:t>
      </w:r>
      <w:r w:rsidRPr="00831854">
        <w:rPr>
          <w:rFonts w:asciiTheme="minorHAnsi" w:hAnsiTheme="minorHAnsi"/>
          <w:i/>
          <w:iCs/>
          <w:color w:val="000000"/>
        </w:rPr>
        <w:t>N</w:t>
      </w:r>
      <w:r w:rsidRPr="00831854">
        <w:rPr>
          <w:rFonts w:asciiTheme="minorHAnsi" w:hAnsiTheme="minorHAnsi"/>
          <w:color w:val="000000"/>
        </w:rPr>
        <w:t xml:space="preserve"> = 68) were recruited through a participant pool managed by the Department</w:t>
      </w:r>
      <w:r>
        <w:rPr>
          <w:rFonts w:cs="Calibri"/>
          <w:color w:val="000000"/>
        </w:rPr>
        <w:t xml:space="preserve"> of Psychology with no additional eligibility criteria assessed. Participants completed th</w:t>
      </w:r>
      <w:r w:rsidR="00B40F4E">
        <w:rPr>
          <w:rFonts w:cs="Calibri"/>
          <w:color w:val="000000"/>
        </w:rPr>
        <w:t>is</w:t>
      </w:r>
      <w:r>
        <w:rPr>
          <w:rFonts w:cs="Calibri"/>
          <w:color w:val="000000"/>
        </w:rPr>
        <w:t xml:space="preserve"> study between April 15 and May 30, 2020, during the</w:t>
      </w:r>
      <w:r w:rsidR="006C0F66">
        <w:rPr>
          <w:rFonts w:cs="Calibri"/>
          <w:color w:val="000000"/>
        </w:rPr>
        <w:t>ir</w:t>
      </w:r>
      <w:r>
        <w:rPr>
          <w:rFonts w:cs="Calibri"/>
          <w:color w:val="000000"/>
        </w:rPr>
        <w:t xml:space="preserve"> spring academic term. Students received course credit for their participation.</w:t>
      </w:r>
    </w:p>
    <w:p w14:paraId="5B57FEA3" w14:textId="581B5C80" w:rsidR="004F3839" w:rsidRPr="00E978D4" w:rsidRDefault="004F3839" w:rsidP="004F3839">
      <w:pPr>
        <w:pStyle w:val="NormalWeb"/>
        <w:spacing w:before="0" w:beforeAutospacing="0" w:after="0" w:afterAutospacing="0" w:line="480" w:lineRule="auto"/>
        <w:ind w:firstLine="720"/>
        <w:jc w:val="both"/>
      </w:pPr>
      <w:r>
        <w:rPr>
          <w:rFonts w:ascii="Calibri" w:hAnsi="Calibri" w:cs="Calibri"/>
          <w:color w:val="000000"/>
        </w:rPr>
        <w:t>After data collection, several exclusion criteria were applied to ensure the quality of the data set</w:t>
      </w:r>
      <w:r w:rsidR="00B40F4E">
        <w:rPr>
          <w:rFonts w:ascii="Calibri" w:hAnsi="Calibri" w:cs="Calibri"/>
          <w:color w:val="000000"/>
        </w:rPr>
        <w:t xml:space="preserve"> (these criteria match those preregistered for the current study)</w:t>
      </w:r>
      <w:r>
        <w:rPr>
          <w:rFonts w:ascii="Calibri" w:hAnsi="Calibri" w:cs="Calibri"/>
          <w:color w:val="000000"/>
        </w:rPr>
        <w:t>. First, data were excluded from participants who exited the survey before completion (</w:t>
      </w:r>
      <w:r w:rsidRPr="00254281">
        <w:rPr>
          <w:rFonts w:ascii="Calibri" w:hAnsi="Calibri" w:cs="Calibri"/>
          <w:i/>
          <w:iCs/>
          <w:color w:val="000000"/>
        </w:rPr>
        <w:t>n</w:t>
      </w:r>
      <w:r>
        <w:rPr>
          <w:rFonts w:ascii="Calibri" w:hAnsi="Calibri" w:cs="Calibri"/>
          <w:color w:val="000000"/>
        </w:rPr>
        <w:t xml:space="preserve"> = 5). Second, data were excluded from participants who failed one or both attention check items included in the survey (</w:t>
      </w:r>
      <w:r w:rsidRPr="00254281">
        <w:rPr>
          <w:rFonts w:ascii="Calibri" w:hAnsi="Calibri" w:cs="Calibri"/>
          <w:i/>
          <w:iCs/>
          <w:color w:val="000000"/>
        </w:rPr>
        <w:t>n</w:t>
      </w:r>
      <w:r>
        <w:rPr>
          <w:rFonts w:ascii="Calibri" w:hAnsi="Calibri" w:cs="Calibri"/>
          <w:color w:val="000000"/>
        </w:rPr>
        <w:t xml:space="preserve"> = 13). Third, data were excluded from participants who completed the survey in less than 20 minutes (</w:t>
      </w:r>
      <w:r w:rsidRPr="00254281">
        <w:rPr>
          <w:rFonts w:ascii="Calibri" w:hAnsi="Calibri" w:cs="Calibri"/>
          <w:i/>
          <w:iCs/>
          <w:color w:val="000000"/>
        </w:rPr>
        <w:t>n</w:t>
      </w:r>
      <w:r>
        <w:rPr>
          <w:rFonts w:ascii="Calibri" w:hAnsi="Calibri" w:cs="Calibri"/>
          <w:color w:val="000000"/>
        </w:rPr>
        <w:t xml:space="preserve"> = 3); based on pilot testing, attentive completion of all survey materials was expected to take approximately 30-60 minutes. Therefore, analyses </w:t>
      </w:r>
      <w:r w:rsidR="00B40F4E">
        <w:rPr>
          <w:rFonts w:ascii="Calibri" w:hAnsi="Calibri" w:cs="Calibri"/>
          <w:color w:val="000000"/>
        </w:rPr>
        <w:t>of this sample were based on a</w:t>
      </w:r>
      <w:r>
        <w:rPr>
          <w:rFonts w:ascii="Calibri" w:hAnsi="Calibri" w:cs="Calibri"/>
          <w:color w:val="000000"/>
        </w:rPr>
        <w:t xml:space="preserve"> final sample of 47 </w:t>
      </w:r>
      <w:r w:rsidR="00B40F4E">
        <w:rPr>
          <w:rFonts w:ascii="Calibri" w:hAnsi="Calibri" w:cs="Calibri"/>
          <w:color w:val="000000"/>
        </w:rPr>
        <w:t>students</w:t>
      </w:r>
      <w:r>
        <w:rPr>
          <w:rFonts w:ascii="Calibri" w:hAnsi="Calibri" w:cs="Calibri"/>
          <w:color w:val="000000"/>
        </w:rPr>
        <w:t xml:space="preserve">. See Table </w:t>
      </w:r>
      <w:r w:rsidR="00B40F4E">
        <w:rPr>
          <w:rFonts w:ascii="Calibri" w:hAnsi="Calibri" w:cs="Calibri"/>
          <w:color w:val="000000"/>
        </w:rPr>
        <w:t>S</w:t>
      </w:r>
      <w:r>
        <w:rPr>
          <w:rFonts w:ascii="Calibri" w:hAnsi="Calibri" w:cs="Calibri"/>
          <w:color w:val="000000"/>
        </w:rPr>
        <w:t>1 for a summary of demographic characteristics.</w:t>
      </w:r>
    </w:p>
    <w:p w14:paraId="650EC7DF" w14:textId="12422B3A" w:rsidR="005C55A8" w:rsidRPr="00757A14" w:rsidRDefault="005C55A8" w:rsidP="005C55A8">
      <w:pPr>
        <w:keepNext/>
        <w:keepLines/>
        <w:spacing w:line="480" w:lineRule="auto"/>
        <w:rPr>
          <w:b/>
        </w:rPr>
      </w:pPr>
      <w:r w:rsidRPr="00757A14">
        <w:rPr>
          <w:b/>
        </w:rPr>
        <w:lastRenderedPageBreak/>
        <w:t xml:space="preserve">Table </w:t>
      </w:r>
      <w:r w:rsidR="00B40F4E">
        <w:rPr>
          <w:b/>
        </w:rPr>
        <w:t>S</w:t>
      </w:r>
      <w:r>
        <w:rPr>
          <w:b/>
        </w:rPr>
        <w:t>1</w:t>
      </w:r>
    </w:p>
    <w:p w14:paraId="0316A416" w14:textId="1A503FB2" w:rsidR="005C55A8" w:rsidRPr="00074917" w:rsidRDefault="005C55A8" w:rsidP="005C55A8">
      <w:pPr>
        <w:keepNext/>
        <w:keepLines/>
        <w:spacing w:line="480" w:lineRule="auto"/>
        <w:rPr>
          <w:i/>
        </w:rPr>
      </w:pPr>
      <w:r>
        <w:rPr>
          <w:i/>
        </w:rPr>
        <w:t>Demographic Characteristics</w:t>
      </w:r>
      <w:r w:rsidR="004A5FC4">
        <w:rPr>
          <w:i/>
        </w:rPr>
        <w:t xml:space="preserve"> of Previous Study Sample</w:t>
      </w:r>
    </w:p>
    <w:tbl>
      <w:tblPr>
        <w:tblStyle w:val="TableGrid"/>
        <w:tblW w:w="5130" w:type="dxa"/>
        <w:tblLook w:val="04A0" w:firstRow="1" w:lastRow="0" w:firstColumn="1" w:lastColumn="0" w:noHBand="0" w:noVBand="1"/>
      </w:tblPr>
      <w:tblGrid>
        <w:gridCol w:w="3600"/>
        <w:gridCol w:w="1530"/>
      </w:tblGrid>
      <w:tr w:rsidR="00B40F4E" w14:paraId="5601C637" w14:textId="77777777" w:rsidTr="00B40F4E">
        <w:trPr>
          <w:cantSplit/>
        </w:trPr>
        <w:tc>
          <w:tcPr>
            <w:tcW w:w="3600" w:type="dxa"/>
            <w:tcBorders>
              <w:left w:val="nil"/>
              <w:bottom w:val="nil"/>
              <w:right w:val="nil"/>
            </w:tcBorders>
          </w:tcPr>
          <w:p w14:paraId="055AC700" w14:textId="77777777" w:rsidR="00B40F4E" w:rsidRPr="00842BD2" w:rsidRDefault="00B40F4E" w:rsidP="00973C1D">
            <w:pPr>
              <w:keepNext/>
              <w:keepLines/>
              <w:spacing w:after="120"/>
              <w:jc w:val="left"/>
              <w:rPr>
                <w:sz w:val="22"/>
                <w:szCs w:val="28"/>
              </w:rPr>
            </w:pPr>
            <w:r>
              <w:rPr>
                <w:sz w:val="22"/>
                <w:szCs w:val="28"/>
              </w:rPr>
              <w:t>Age</w:t>
            </w:r>
          </w:p>
        </w:tc>
        <w:tc>
          <w:tcPr>
            <w:tcW w:w="1530" w:type="dxa"/>
            <w:tcBorders>
              <w:left w:val="nil"/>
              <w:bottom w:val="nil"/>
              <w:right w:val="nil"/>
            </w:tcBorders>
          </w:tcPr>
          <w:p w14:paraId="06910C7E" w14:textId="77777777" w:rsidR="00B40F4E" w:rsidRPr="00842BD2" w:rsidRDefault="00B40F4E" w:rsidP="00973C1D">
            <w:pPr>
              <w:keepNext/>
              <w:keepLines/>
              <w:spacing w:after="120"/>
              <w:jc w:val="center"/>
              <w:rPr>
                <w:sz w:val="22"/>
                <w:szCs w:val="28"/>
              </w:rPr>
            </w:pPr>
            <w:r>
              <w:rPr>
                <w:sz w:val="22"/>
                <w:szCs w:val="28"/>
              </w:rPr>
              <w:t xml:space="preserve">19.7 </w:t>
            </w:r>
            <w:r>
              <w:rPr>
                <w:rFonts w:cs="Calibri"/>
                <w:color w:val="000000"/>
              </w:rPr>
              <w:t xml:space="preserve">± </w:t>
            </w:r>
            <w:r>
              <w:rPr>
                <w:sz w:val="22"/>
                <w:szCs w:val="28"/>
              </w:rPr>
              <w:t>1.1</w:t>
            </w:r>
          </w:p>
        </w:tc>
      </w:tr>
      <w:tr w:rsidR="00B40F4E" w14:paraId="74495F0A" w14:textId="77777777" w:rsidTr="00B40F4E">
        <w:trPr>
          <w:cantSplit/>
        </w:trPr>
        <w:tc>
          <w:tcPr>
            <w:tcW w:w="3600" w:type="dxa"/>
            <w:tcBorders>
              <w:top w:val="nil"/>
              <w:left w:val="nil"/>
              <w:bottom w:val="nil"/>
              <w:right w:val="nil"/>
            </w:tcBorders>
          </w:tcPr>
          <w:p w14:paraId="1D1E19E7" w14:textId="77777777" w:rsidR="00B40F4E" w:rsidRPr="00842BD2" w:rsidRDefault="00B40F4E" w:rsidP="00973C1D">
            <w:pPr>
              <w:keepNext/>
              <w:keepLines/>
              <w:spacing w:after="120"/>
              <w:jc w:val="left"/>
              <w:rPr>
                <w:sz w:val="22"/>
                <w:szCs w:val="28"/>
              </w:rPr>
            </w:pPr>
            <w:r>
              <w:rPr>
                <w:sz w:val="22"/>
                <w:szCs w:val="28"/>
              </w:rPr>
              <w:t>Sex</w:t>
            </w:r>
          </w:p>
        </w:tc>
        <w:tc>
          <w:tcPr>
            <w:tcW w:w="1530" w:type="dxa"/>
            <w:tcBorders>
              <w:top w:val="nil"/>
              <w:left w:val="nil"/>
              <w:bottom w:val="nil"/>
              <w:right w:val="nil"/>
            </w:tcBorders>
          </w:tcPr>
          <w:p w14:paraId="26D4784E" w14:textId="77777777" w:rsidR="00B40F4E" w:rsidRPr="00842BD2" w:rsidRDefault="00B40F4E" w:rsidP="00973C1D">
            <w:pPr>
              <w:keepNext/>
              <w:keepLines/>
              <w:spacing w:after="120"/>
              <w:jc w:val="center"/>
              <w:rPr>
                <w:sz w:val="22"/>
                <w:szCs w:val="28"/>
              </w:rPr>
            </w:pPr>
          </w:p>
        </w:tc>
      </w:tr>
      <w:tr w:rsidR="00B40F4E" w14:paraId="0EE1E711" w14:textId="77777777" w:rsidTr="00B40F4E">
        <w:trPr>
          <w:cantSplit/>
        </w:trPr>
        <w:tc>
          <w:tcPr>
            <w:tcW w:w="3600" w:type="dxa"/>
            <w:tcBorders>
              <w:top w:val="nil"/>
              <w:left w:val="nil"/>
              <w:bottom w:val="nil"/>
              <w:right w:val="nil"/>
            </w:tcBorders>
          </w:tcPr>
          <w:p w14:paraId="3DD00409" w14:textId="77777777" w:rsidR="00B40F4E" w:rsidRPr="00842BD2" w:rsidRDefault="00B40F4E" w:rsidP="00973C1D">
            <w:pPr>
              <w:keepNext/>
              <w:keepLines/>
              <w:spacing w:after="120"/>
              <w:jc w:val="left"/>
              <w:rPr>
                <w:sz w:val="22"/>
                <w:szCs w:val="28"/>
              </w:rPr>
            </w:pPr>
            <w:r>
              <w:rPr>
                <w:sz w:val="22"/>
                <w:szCs w:val="28"/>
              </w:rPr>
              <w:t xml:space="preserve">     Female</w:t>
            </w:r>
          </w:p>
        </w:tc>
        <w:tc>
          <w:tcPr>
            <w:tcW w:w="1530" w:type="dxa"/>
            <w:tcBorders>
              <w:top w:val="nil"/>
              <w:left w:val="nil"/>
              <w:bottom w:val="nil"/>
              <w:right w:val="nil"/>
            </w:tcBorders>
            <w:vAlign w:val="center"/>
          </w:tcPr>
          <w:p w14:paraId="70379B6B" w14:textId="77777777" w:rsidR="00B40F4E" w:rsidRPr="00842BD2" w:rsidRDefault="00B40F4E" w:rsidP="00973C1D">
            <w:pPr>
              <w:keepNext/>
              <w:keepLines/>
              <w:spacing w:after="120"/>
              <w:jc w:val="center"/>
              <w:rPr>
                <w:sz w:val="22"/>
                <w:szCs w:val="28"/>
              </w:rPr>
            </w:pPr>
            <w:r>
              <w:rPr>
                <w:sz w:val="22"/>
                <w:szCs w:val="28"/>
              </w:rPr>
              <w:t>39</w:t>
            </w:r>
          </w:p>
        </w:tc>
      </w:tr>
      <w:tr w:rsidR="00B40F4E" w14:paraId="0731B0A0" w14:textId="77777777" w:rsidTr="00B40F4E">
        <w:trPr>
          <w:cantSplit/>
        </w:trPr>
        <w:tc>
          <w:tcPr>
            <w:tcW w:w="3600" w:type="dxa"/>
            <w:tcBorders>
              <w:top w:val="nil"/>
              <w:left w:val="nil"/>
              <w:bottom w:val="nil"/>
              <w:right w:val="nil"/>
            </w:tcBorders>
          </w:tcPr>
          <w:p w14:paraId="0B6A3F43" w14:textId="77777777" w:rsidR="00B40F4E" w:rsidRPr="00842BD2" w:rsidRDefault="00B40F4E" w:rsidP="00973C1D">
            <w:pPr>
              <w:keepNext/>
              <w:keepLines/>
              <w:spacing w:after="120"/>
              <w:jc w:val="left"/>
              <w:rPr>
                <w:sz w:val="22"/>
                <w:szCs w:val="28"/>
              </w:rPr>
            </w:pPr>
            <w:r>
              <w:rPr>
                <w:sz w:val="22"/>
                <w:szCs w:val="28"/>
              </w:rPr>
              <w:t xml:space="preserve">     Male</w:t>
            </w:r>
          </w:p>
        </w:tc>
        <w:tc>
          <w:tcPr>
            <w:tcW w:w="1530" w:type="dxa"/>
            <w:tcBorders>
              <w:top w:val="nil"/>
              <w:left w:val="nil"/>
              <w:bottom w:val="nil"/>
              <w:right w:val="nil"/>
            </w:tcBorders>
          </w:tcPr>
          <w:p w14:paraId="060996C7" w14:textId="77777777" w:rsidR="00B40F4E" w:rsidRPr="00842BD2" w:rsidRDefault="00B40F4E" w:rsidP="00973C1D">
            <w:pPr>
              <w:keepNext/>
              <w:keepLines/>
              <w:spacing w:after="120"/>
              <w:jc w:val="center"/>
              <w:rPr>
                <w:sz w:val="22"/>
                <w:szCs w:val="28"/>
              </w:rPr>
            </w:pPr>
            <w:r>
              <w:rPr>
                <w:sz w:val="22"/>
                <w:szCs w:val="28"/>
              </w:rPr>
              <w:t>8</w:t>
            </w:r>
          </w:p>
        </w:tc>
      </w:tr>
      <w:tr w:rsidR="00B40F4E" w14:paraId="4125F7F5" w14:textId="77777777" w:rsidTr="00B40F4E">
        <w:trPr>
          <w:cantSplit/>
        </w:trPr>
        <w:tc>
          <w:tcPr>
            <w:tcW w:w="3600" w:type="dxa"/>
            <w:tcBorders>
              <w:top w:val="nil"/>
              <w:left w:val="nil"/>
              <w:bottom w:val="nil"/>
              <w:right w:val="nil"/>
            </w:tcBorders>
          </w:tcPr>
          <w:p w14:paraId="1851AC84" w14:textId="77777777" w:rsidR="00B40F4E" w:rsidRPr="00842BD2" w:rsidRDefault="00B40F4E" w:rsidP="00973C1D">
            <w:pPr>
              <w:keepNext/>
              <w:keepLines/>
              <w:spacing w:after="120"/>
              <w:jc w:val="left"/>
              <w:rPr>
                <w:sz w:val="22"/>
                <w:szCs w:val="28"/>
              </w:rPr>
            </w:pPr>
            <w:r>
              <w:rPr>
                <w:sz w:val="22"/>
                <w:szCs w:val="28"/>
              </w:rPr>
              <w:t>Gender</w:t>
            </w:r>
          </w:p>
        </w:tc>
        <w:tc>
          <w:tcPr>
            <w:tcW w:w="1530" w:type="dxa"/>
            <w:tcBorders>
              <w:top w:val="nil"/>
              <w:left w:val="nil"/>
              <w:bottom w:val="nil"/>
              <w:right w:val="nil"/>
            </w:tcBorders>
          </w:tcPr>
          <w:p w14:paraId="1053F4E2" w14:textId="77777777" w:rsidR="00B40F4E" w:rsidRPr="00842BD2" w:rsidRDefault="00B40F4E" w:rsidP="00973C1D">
            <w:pPr>
              <w:keepNext/>
              <w:keepLines/>
              <w:spacing w:after="120"/>
              <w:jc w:val="center"/>
              <w:rPr>
                <w:sz w:val="22"/>
                <w:szCs w:val="28"/>
              </w:rPr>
            </w:pPr>
          </w:p>
        </w:tc>
      </w:tr>
      <w:tr w:rsidR="00B40F4E" w14:paraId="5BC05CF0" w14:textId="77777777" w:rsidTr="00B40F4E">
        <w:trPr>
          <w:cantSplit/>
        </w:trPr>
        <w:tc>
          <w:tcPr>
            <w:tcW w:w="3600" w:type="dxa"/>
            <w:tcBorders>
              <w:top w:val="nil"/>
              <w:left w:val="nil"/>
              <w:bottom w:val="nil"/>
              <w:right w:val="nil"/>
            </w:tcBorders>
          </w:tcPr>
          <w:p w14:paraId="68A659ED" w14:textId="77777777" w:rsidR="00B40F4E" w:rsidRPr="00842BD2" w:rsidRDefault="00B40F4E" w:rsidP="00973C1D">
            <w:pPr>
              <w:keepNext/>
              <w:keepLines/>
              <w:spacing w:after="120"/>
              <w:jc w:val="left"/>
              <w:rPr>
                <w:sz w:val="22"/>
                <w:szCs w:val="28"/>
              </w:rPr>
            </w:pPr>
            <w:r>
              <w:rPr>
                <w:sz w:val="22"/>
                <w:szCs w:val="28"/>
              </w:rPr>
              <w:t xml:space="preserve">     Man</w:t>
            </w:r>
          </w:p>
        </w:tc>
        <w:tc>
          <w:tcPr>
            <w:tcW w:w="1530" w:type="dxa"/>
            <w:tcBorders>
              <w:top w:val="nil"/>
              <w:left w:val="nil"/>
              <w:bottom w:val="nil"/>
              <w:right w:val="nil"/>
            </w:tcBorders>
          </w:tcPr>
          <w:p w14:paraId="50D4D6D4" w14:textId="77777777" w:rsidR="00B40F4E" w:rsidRPr="00842BD2" w:rsidRDefault="00B40F4E" w:rsidP="00973C1D">
            <w:pPr>
              <w:keepNext/>
              <w:keepLines/>
              <w:spacing w:after="120"/>
              <w:jc w:val="center"/>
              <w:rPr>
                <w:sz w:val="22"/>
                <w:szCs w:val="28"/>
              </w:rPr>
            </w:pPr>
            <w:r>
              <w:rPr>
                <w:sz w:val="22"/>
                <w:szCs w:val="28"/>
              </w:rPr>
              <w:t>8</w:t>
            </w:r>
          </w:p>
        </w:tc>
      </w:tr>
      <w:tr w:rsidR="00B40F4E" w14:paraId="6484CB7B" w14:textId="77777777" w:rsidTr="00B40F4E">
        <w:trPr>
          <w:cantSplit/>
        </w:trPr>
        <w:tc>
          <w:tcPr>
            <w:tcW w:w="3600" w:type="dxa"/>
            <w:tcBorders>
              <w:top w:val="nil"/>
              <w:left w:val="nil"/>
              <w:bottom w:val="nil"/>
              <w:right w:val="nil"/>
            </w:tcBorders>
          </w:tcPr>
          <w:p w14:paraId="7DBA4B69" w14:textId="77777777" w:rsidR="00B40F4E" w:rsidRPr="00842BD2" w:rsidRDefault="00B40F4E" w:rsidP="00973C1D">
            <w:pPr>
              <w:keepNext/>
              <w:keepLines/>
              <w:spacing w:after="120"/>
              <w:jc w:val="left"/>
              <w:rPr>
                <w:sz w:val="22"/>
                <w:szCs w:val="28"/>
              </w:rPr>
            </w:pPr>
            <w:r>
              <w:rPr>
                <w:sz w:val="22"/>
                <w:szCs w:val="28"/>
              </w:rPr>
              <w:t xml:space="preserve">     Non-binary</w:t>
            </w:r>
          </w:p>
        </w:tc>
        <w:tc>
          <w:tcPr>
            <w:tcW w:w="1530" w:type="dxa"/>
            <w:tcBorders>
              <w:top w:val="nil"/>
              <w:left w:val="nil"/>
              <w:bottom w:val="nil"/>
              <w:right w:val="nil"/>
            </w:tcBorders>
          </w:tcPr>
          <w:p w14:paraId="6EEBEE62" w14:textId="77777777" w:rsidR="00B40F4E" w:rsidRPr="00842BD2" w:rsidRDefault="00B40F4E" w:rsidP="00973C1D">
            <w:pPr>
              <w:keepNext/>
              <w:keepLines/>
              <w:spacing w:after="120"/>
              <w:jc w:val="center"/>
              <w:rPr>
                <w:sz w:val="22"/>
                <w:szCs w:val="28"/>
              </w:rPr>
            </w:pPr>
            <w:r>
              <w:rPr>
                <w:sz w:val="22"/>
                <w:szCs w:val="28"/>
              </w:rPr>
              <w:t>0</w:t>
            </w:r>
          </w:p>
        </w:tc>
      </w:tr>
      <w:tr w:rsidR="00B40F4E" w14:paraId="2C07B69A" w14:textId="77777777" w:rsidTr="00B40F4E">
        <w:trPr>
          <w:cantSplit/>
        </w:trPr>
        <w:tc>
          <w:tcPr>
            <w:tcW w:w="3600" w:type="dxa"/>
            <w:tcBorders>
              <w:top w:val="nil"/>
              <w:left w:val="nil"/>
              <w:bottom w:val="nil"/>
              <w:right w:val="nil"/>
            </w:tcBorders>
          </w:tcPr>
          <w:p w14:paraId="557F2CFC" w14:textId="77777777" w:rsidR="00B40F4E" w:rsidRPr="00842BD2" w:rsidRDefault="00B40F4E" w:rsidP="00973C1D">
            <w:pPr>
              <w:keepNext/>
              <w:keepLines/>
              <w:spacing w:after="120"/>
              <w:jc w:val="left"/>
              <w:rPr>
                <w:sz w:val="22"/>
                <w:szCs w:val="28"/>
              </w:rPr>
            </w:pPr>
            <w:r>
              <w:rPr>
                <w:sz w:val="22"/>
                <w:szCs w:val="28"/>
              </w:rPr>
              <w:t xml:space="preserve">     Woman</w:t>
            </w:r>
          </w:p>
        </w:tc>
        <w:tc>
          <w:tcPr>
            <w:tcW w:w="1530" w:type="dxa"/>
            <w:tcBorders>
              <w:top w:val="nil"/>
              <w:left w:val="nil"/>
              <w:bottom w:val="nil"/>
              <w:right w:val="nil"/>
            </w:tcBorders>
            <w:vAlign w:val="center"/>
          </w:tcPr>
          <w:p w14:paraId="0AEDB0B1" w14:textId="77777777" w:rsidR="00B40F4E" w:rsidRPr="00842BD2" w:rsidRDefault="00B40F4E" w:rsidP="00973C1D">
            <w:pPr>
              <w:keepNext/>
              <w:keepLines/>
              <w:spacing w:after="120"/>
              <w:jc w:val="center"/>
              <w:rPr>
                <w:sz w:val="22"/>
                <w:szCs w:val="28"/>
              </w:rPr>
            </w:pPr>
            <w:r>
              <w:rPr>
                <w:sz w:val="22"/>
                <w:szCs w:val="28"/>
              </w:rPr>
              <w:t>39</w:t>
            </w:r>
          </w:p>
        </w:tc>
      </w:tr>
      <w:tr w:rsidR="00B40F4E" w14:paraId="644BE2F3" w14:textId="77777777" w:rsidTr="00B40F4E">
        <w:trPr>
          <w:cantSplit/>
        </w:trPr>
        <w:tc>
          <w:tcPr>
            <w:tcW w:w="3600" w:type="dxa"/>
            <w:tcBorders>
              <w:top w:val="nil"/>
              <w:left w:val="nil"/>
              <w:bottom w:val="nil"/>
              <w:right w:val="nil"/>
            </w:tcBorders>
          </w:tcPr>
          <w:p w14:paraId="3EF50198" w14:textId="77777777" w:rsidR="00B40F4E" w:rsidRDefault="00B40F4E" w:rsidP="00973C1D">
            <w:pPr>
              <w:keepNext/>
              <w:keepLines/>
              <w:spacing w:after="120"/>
              <w:jc w:val="left"/>
              <w:rPr>
                <w:sz w:val="22"/>
                <w:szCs w:val="28"/>
              </w:rPr>
            </w:pPr>
            <w:r>
              <w:rPr>
                <w:sz w:val="22"/>
                <w:szCs w:val="28"/>
              </w:rPr>
              <w:t>Race</w:t>
            </w:r>
          </w:p>
        </w:tc>
        <w:tc>
          <w:tcPr>
            <w:tcW w:w="1530" w:type="dxa"/>
            <w:tcBorders>
              <w:top w:val="nil"/>
              <w:left w:val="nil"/>
              <w:bottom w:val="nil"/>
              <w:right w:val="nil"/>
            </w:tcBorders>
            <w:vAlign w:val="center"/>
          </w:tcPr>
          <w:p w14:paraId="584B0147" w14:textId="77777777" w:rsidR="00B40F4E" w:rsidRDefault="00B40F4E" w:rsidP="00973C1D">
            <w:pPr>
              <w:keepNext/>
              <w:keepLines/>
              <w:spacing w:after="120"/>
              <w:jc w:val="center"/>
              <w:rPr>
                <w:sz w:val="22"/>
                <w:szCs w:val="28"/>
              </w:rPr>
            </w:pPr>
          </w:p>
        </w:tc>
      </w:tr>
      <w:tr w:rsidR="00B40F4E" w14:paraId="57D94E5A" w14:textId="77777777" w:rsidTr="00B40F4E">
        <w:trPr>
          <w:cantSplit/>
        </w:trPr>
        <w:tc>
          <w:tcPr>
            <w:tcW w:w="3600" w:type="dxa"/>
            <w:tcBorders>
              <w:top w:val="nil"/>
              <w:left w:val="nil"/>
              <w:bottom w:val="nil"/>
              <w:right w:val="nil"/>
            </w:tcBorders>
          </w:tcPr>
          <w:p w14:paraId="4E4E629D" w14:textId="77777777" w:rsidR="00B40F4E" w:rsidRDefault="00B40F4E" w:rsidP="00973C1D">
            <w:pPr>
              <w:keepNext/>
              <w:keepLines/>
              <w:spacing w:after="120"/>
              <w:jc w:val="left"/>
              <w:rPr>
                <w:sz w:val="22"/>
                <w:szCs w:val="28"/>
              </w:rPr>
            </w:pPr>
            <w:r>
              <w:rPr>
                <w:sz w:val="22"/>
                <w:szCs w:val="28"/>
              </w:rPr>
              <w:t xml:space="preserve">     African American</w:t>
            </w:r>
          </w:p>
        </w:tc>
        <w:tc>
          <w:tcPr>
            <w:tcW w:w="1530" w:type="dxa"/>
            <w:tcBorders>
              <w:top w:val="nil"/>
              <w:left w:val="nil"/>
              <w:bottom w:val="nil"/>
              <w:right w:val="nil"/>
            </w:tcBorders>
            <w:vAlign w:val="center"/>
          </w:tcPr>
          <w:p w14:paraId="3029EED0" w14:textId="77777777" w:rsidR="00B40F4E" w:rsidRDefault="00B40F4E" w:rsidP="00973C1D">
            <w:pPr>
              <w:keepNext/>
              <w:keepLines/>
              <w:spacing w:after="120"/>
              <w:jc w:val="center"/>
              <w:rPr>
                <w:sz w:val="22"/>
                <w:szCs w:val="28"/>
              </w:rPr>
            </w:pPr>
            <w:r>
              <w:rPr>
                <w:sz w:val="22"/>
                <w:szCs w:val="28"/>
              </w:rPr>
              <w:t>0</w:t>
            </w:r>
          </w:p>
        </w:tc>
      </w:tr>
      <w:tr w:rsidR="00B40F4E" w14:paraId="6A15AF53" w14:textId="77777777" w:rsidTr="00B40F4E">
        <w:trPr>
          <w:cantSplit/>
        </w:trPr>
        <w:tc>
          <w:tcPr>
            <w:tcW w:w="3600" w:type="dxa"/>
            <w:tcBorders>
              <w:top w:val="nil"/>
              <w:left w:val="nil"/>
              <w:bottom w:val="nil"/>
              <w:right w:val="nil"/>
            </w:tcBorders>
          </w:tcPr>
          <w:p w14:paraId="469FB154" w14:textId="77777777" w:rsidR="00B40F4E" w:rsidRDefault="00B40F4E" w:rsidP="00973C1D">
            <w:pPr>
              <w:keepNext/>
              <w:keepLines/>
              <w:spacing w:after="120"/>
              <w:jc w:val="left"/>
              <w:rPr>
                <w:sz w:val="22"/>
                <w:szCs w:val="28"/>
              </w:rPr>
            </w:pPr>
            <w:r>
              <w:rPr>
                <w:sz w:val="22"/>
                <w:szCs w:val="28"/>
              </w:rPr>
              <w:t xml:space="preserve">     American Indian or Alaskan Native</w:t>
            </w:r>
          </w:p>
        </w:tc>
        <w:tc>
          <w:tcPr>
            <w:tcW w:w="1530" w:type="dxa"/>
            <w:tcBorders>
              <w:top w:val="nil"/>
              <w:left w:val="nil"/>
              <w:bottom w:val="nil"/>
              <w:right w:val="nil"/>
            </w:tcBorders>
            <w:vAlign w:val="center"/>
          </w:tcPr>
          <w:p w14:paraId="7762CD29" w14:textId="77777777" w:rsidR="00B40F4E" w:rsidRDefault="00B40F4E" w:rsidP="00973C1D">
            <w:pPr>
              <w:keepNext/>
              <w:keepLines/>
              <w:spacing w:after="120"/>
              <w:jc w:val="center"/>
              <w:rPr>
                <w:sz w:val="22"/>
                <w:szCs w:val="28"/>
              </w:rPr>
            </w:pPr>
            <w:r>
              <w:rPr>
                <w:sz w:val="22"/>
                <w:szCs w:val="28"/>
              </w:rPr>
              <w:t>2</w:t>
            </w:r>
          </w:p>
        </w:tc>
      </w:tr>
      <w:tr w:rsidR="00B40F4E" w14:paraId="6B53AE17" w14:textId="77777777" w:rsidTr="00B40F4E">
        <w:trPr>
          <w:cantSplit/>
        </w:trPr>
        <w:tc>
          <w:tcPr>
            <w:tcW w:w="3600" w:type="dxa"/>
            <w:tcBorders>
              <w:top w:val="nil"/>
              <w:left w:val="nil"/>
              <w:bottom w:val="nil"/>
              <w:right w:val="nil"/>
            </w:tcBorders>
          </w:tcPr>
          <w:p w14:paraId="5CF40108" w14:textId="77777777" w:rsidR="00B40F4E" w:rsidRDefault="00B40F4E" w:rsidP="00973C1D">
            <w:pPr>
              <w:keepNext/>
              <w:keepLines/>
              <w:spacing w:after="120"/>
              <w:jc w:val="left"/>
              <w:rPr>
                <w:sz w:val="22"/>
                <w:szCs w:val="28"/>
              </w:rPr>
            </w:pPr>
            <w:r>
              <w:rPr>
                <w:sz w:val="22"/>
                <w:szCs w:val="28"/>
              </w:rPr>
              <w:t xml:space="preserve">     Asian</w:t>
            </w:r>
          </w:p>
        </w:tc>
        <w:tc>
          <w:tcPr>
            <w:tcW w:w="1530" w:type="dxa"/>
            <w:tcBorders>
              <w:top w:val="nil"/>
              <w:left w:val="nil"/>
              <w:bottom w:val="nil"/>
              <w:right w:val="nil"/>
            </w:tcBorders>
            <w:vAlign w:val="center"/>
          </w:tcPr>
          <w:p w14:paraId="17D86FBE" w14:textId="77777777" w:rsidR="00B40F4E" w:rsidRDefault="00B40F4E" w:rsidP="00973C1D">
            <w:pPr>
              <w:keepNext/>
              <w:keepLines/>
              <w:spacing w:after="120"/>
              <w:jc w:val="center"/>
              <w:rPr>
                <w:sz w:val="22"/>
                <w:szCs w:val="28"/>
              </w:rPr>
            </w:pPr>
            <w:r>
              <w:rPr>
                <w:sz w:val="22"/>
                <w:szCs w:val="28"/>
              </w:rPr>
              <w:t>2</w:t>
            </w:r>
          </w:p>
        </w:tc>
      </w:tr>
      <w:tr w:rsidR="00B40F4E" w14:paraId="70979840" w14:textId="77777777" w:rsidTr="00B40F4E">
        <w:trPr>
          <w:cantSplit/>
        </w:trPr>
        <w:tc>
          <w:tcPr>
            <w:tcW w:w="3600" w:type="dxa"/>
            <w:tcBorders>
              <w:top w:val="nil"/>
              <w:left w:val="nil"/>
              <w:bottom w:val="nil"/>
              <w:right w:val="nil"/>
            </w:tcBorders>
          </w:tcPr>
          <w:p w14:paraId="044A948E" w14:textId="77777777" w:rsidR="00B40F4E" w:rsidRDefault="00B40F4E" w:rsidP="00973C1D">
            <w:pPr>
              <w:keepNext/>
              <w:keepLines/>
              <w:spacing w:after="120"/>
              <w:jc w:val="left"/>
              <w:rPr>
                <w:sz w:val="22"/>
                <w:szCs w:val="28"/>
              </w:rPr>
            </w:pPr>
            <w:r>
              <w:rPr>
                <w:sz w:val="22"/>
                <w:szCs w:val="28"/>
              </w:rPr>
              <w:t xml:space="preserve">     Caucasian</w:t>
            </w:r>
          </w:p>
        </w:tc>
        <w:tc>
          <w:tcPr>
            <w:tcW w:w="1530" w:type="dxa"/>
            <w:tcBorders>
              <w:top w:val="nil"/>
              <w:left w:val="nil"/>
              <w:bottom w:val="nil"/>
              <w:right w:val="nil"/>
            </w:tcBorders>
            <w:vAlign w:val="center"/>
          </w:tcPr>
          <w:p w14:paraId="3C31CA27" w14:textId="77777777" w:rsidR="00B40F4E" w:rsidRDefault="00B40F4E" w:rsidP="00973C1D">
            <w:pPr>
              <w:keepNext/>
              <w:keepLines/>
              <w:spacing w:after="120"/>
              <w:jc w:val="center"/>
              <w:rPr>
                <w:sz w:val="22"/>
                <w:szCs w:val="28"/>
              </w:rPr>
            </w:pPr>
            <w:r>
              <w:rPr>
                <w:sz w:val="22"/>
                <w:szCs w:val="28"/>
              </w:rPr>
              <w:t>43</w:t>
            </w:r>
          </w:p>
        </w:tc>
      </w:tr>
      <w:tr w:rsidR="00B40F4E" w14:paraId="233ADEAA" w14:textId="77777777" w:rsidTr="00B40F4E">
        <w:trPr>
          <w:cantSplit/>
        </w:trPr>
        <w:tc>
          <w:tcPr>
            <w:tcW w:w="3600" w:type="dxa"/>
            <w:tcBorders>
              <w:top w:val="nil"/>
              <w:left w:val="nil"/>
              <w:bottom w:val="nil"/>
              <w:right w:val="nil"/>
            </w:tcBorders>
          </w:tcPr>
          <w:p w14:paraId="02B8D4ED" w14:textId="77777777" w:rsidR="00B40F4E" w:rsidRDefault="00B40F4E" w:rsidP="00973C1D">
            <w:pPr>
              <w:keepNext/>
              <w:keepLines/>
              <w:spacing w:after="120"/>
              <w:jc w:val="left"/>
              <w:rPr>
                <w:sz w:val="22"/>
                <w:szCs w:val="28"/>
              </w:rPr>
            </w:pPr>
            <w:r>
              <w:rPr>
                <w:sz w:val="22"/>
                <w:szCs w:val="28"/>
              </w:rPr>
              <w:t xml:space="preserve">     Multiracial</w:t>
            </w:r>
          </w:p>
        </w:tc>
        <w:tc>
          <w:tcPr>
            <w:tcW w:w="1530" w:type="dxa"/>
            <w:tcBorders>
              <w:top w:val="nil"/>
              <w:left w:val="nil"/>
              <w:bottom w:val="nil"/>
              <w:right w:val="nil"/>
            </w:tcBorders>
            <w:vAlign w:val="center"/>
          </w:tcPr>
          <w:p w14:paraId="07CD3D60" w14:textId="77777777" w:rsidR="00B40F4E" w:rsidRDefault="00B40F4E" w:rsidP="00973C1D">
            <w:pPr>
              <w:keepNext/>
              <w:keepLines/>
              <w:spacing w:after="120"/>
              <w:jc w:val="center"/>
              <w:rPr>
                <w:sz w:val="22"/>
                <w:szCs w:val="28"/>
              </w:rPr>
            </w:pPr>
            <w:r>
              <w:rPr>
                <w:sz w:val="22"/>
                <w:szCs w:val="28"/>
              </w:rPr>
              <w:t>0</w:t>
            </w:r>
          </w:p>
        </w:tc>
      </w:tr>
      <w:tr w:rsidR="00B40F4E" w14:paraId="7167DA97" w14:textId="77777777" w:rsidTr="00B40F4E">
        <w:trPr>
          <w:cantSplit/>
        </w:trPr>
        <w:tc>
          <w:tcPr>
            <w:tcW w:w="3600" w:type="dxa"/>
            <w:tcBorders>
              <w:top w:val="nil"/>
              <w:left w:val="nil"/>
              <w:bottom w:val="nil"/>
              <w:right w:val="nil"/>
            </w:tcBorders>
          </w:tcPr>
          <w:p w14:paraId="247CDEA0" w14:textId="77777777" w:rsidR="00B40F4E" w:rsidRDefault="00B40F4E" w:rsidP="00973C1D">
            <w:pPr>
              <w:keepNext/>
              <w:keepLines/>
              <w:spacing w:after="120"/>
              <w:jc w:val="left"/>
              <w:rPr>
                <w:sz w:val="22"/>
                <w:szCs w:val="28"/>
              </w:rPr>
            </w:pPr>
            <w:r>
              <w:rPr>
                <w:sz w:val="22"/>
                <w:szCs w:val="28"/>
              </w:rPr>
              <w:t xml:space="preserve">     Native Hawaiian or Pacific Islander</w:t>
            </w:r>
          </w:p>
        </w:tc>
        <w:tc>
          <w:tcPr>
            <w:tcW w:w="1530" w:type="dxa"/>
            <w:tcBorders>
              <w:top w:val="nil"/>
              <w:left w:val="nil"/>
              <w:bottom w:val="nil"/>
              <w:right w:val="nil"/>
            </w:tcBorders>
            <w:vAlign w:val="center"/>
          </w:tcPr>
          <w:p w14:paraId="657562CF" w14:textId="77777777" w:rsidR="00B40F4E" w:rsidRDefault="00B40F4E" w:rsidP="00973C1D">
            <w:pPr>
              <w:keepNext/>
              <w:keepLines/>
              <w:spacing w:after="120"/>
              <w:jc w:val="center"/>
              <w:rPr>
                <w:sz w:val="22"/>
                <w:szCs w:val="28"/>
              </w:rPr>
            </w:pPr>
            <w:r>
              <w:rPr>
                <w:sz w:val="22"/>
                <w:szCs w:val="28"/>
              </w:rPr>
              <w:t>0</w:t>
            </w:r>
          </w:p>
        </w:tc>
      </w:tr>
      <w:tr w:rsidR="00B40F4E" w14:paraId="16F21B88" w14:textId="77777777" w:rsidTr="00B40F4E">
        <w:trPr>
          <w:cantSplit/>
        </w:trPr>
        <w:tc>
          <w:tcPr>
            <w:tcW w:w="3600" w:type="dxa"/>
            <w:tcBorders>
              <w:top w:val="nil"/>
              <w:left w:val="nil"/>
              <w:bottom w:val="nil"/>
              <w:right w:val="nil"/>
            </w:tcBorders>
          </w:tcPr>
          <w:p w14:paraId="3839C6C5" w14:textId="77777777" w:rsidR="00B40F4E" w:rsidRDefault="00B40F4E" w:rsidP="00973C1D">
            <w:pPr>
              <w:keepNext/>
              <w:keepLines/>
              <w:spacing w:after="120"/>
              <w:jc w:val="left"/>
              <w:rPr>
                <w:sz w:val="22"/>
                <w:szCs w:val="28"/>
              </w:rPr>
            </w:pPr>
            <w:r>
              <w:rPr>
                <w:sz w:val="22"/>
                <w:szCs w:val="28"/>
              </w:rPr>
              <w:t>Ethnicity</w:t>
            </w:r>
          </w:p>
        </w:tc>
        <w:tc>
          <w:tcPr>
            <w:tcW w:w="1530" w:type="dxa"/>
            <w:tcBorders>
              <w:top w:val="nil"/>
              <w:left w:val="nil"/>
              <w:bottom w:val="nil"/>
              <w:right w:val="nil"/>
            </w:tcBorders>
            <w:vAlign w:val="center"/>
          </w:tcPr>
          <w:p w14:paraId="1B8B4D68" w14:textId="77777777" w:rsidR="00B40F4E" w:rsidRDefault="00B40F4E" w:rsidP="00973C1D">
            <w:pPr>
              <w:keepNext/>
              <w:keepLines/>
              <w:spacing w:after="120"/>
              <w:jc w:val="center"/>
              <w:rPr>
                <w:sz w:val="22"/>
                <w:szCs w:val="28"/>
              </w:rPr>
            </w:pPr>
          </w:p>
        </w:tc>
      </w:tr>
      <w:tr w:rsidR="00B40F4E" w14:paraId="225A1767" w14:textId="77777777" w:rsidTr="00B40F4E">
        <w:trPr>
          <w:cantSplit/>
        </w:trPr>
        <w:tc>
          <w:tcPr>
            <w:tcW w:w="3600" w:type="dxa"/>
            <w:tcBorders>
              <w:top w:val="nil"/>
              <w:left w:val="nil"/>
              <w:bottom w:val="nil"/>
              <w:right w:val="nil"/>
            </w:tcBorders>
          </w:tcPr>
          <w:p w14:paraId="6116FEA1" w14:textId="77777777" w:rsidR="00B40F4E" w:rsidRDefault="00B40F4E" w:rsidP="00973C1D">
            <w:pPr>
              <w:keepNext/>
              <w:keepLines/>
              <w:spacing w:after="120"/>
              <w:jc w:val="left"/>
              <w:rPr>
                <w:sz w:val="22"/>
                <w:szCs w:val="28"/>
              </w:rPr>
            </w:pPr>
            <w:r>
              <w:rPr>
                <w:sz w:val="22"/>
                <w:szCs w:val="28"/>
              </w:rPr>
              <w:t xml:space="preserve">     Hispanic/Latinx</w:t>
            </w:r>
          </w:p>
        </w:tc>
        <w:tc>
          <w:tcPr>
            <w:tcW w:w="1530" w:type="dxa"/>
            <w:tcBorders>
              <w:top w:val="nil"/>
              <w:left w:val="nil"/>
              <w:bottom w:val="nil"/>
              <w:right w:val="nil"/>
            </w:tcBorders>
            <w:vAlign w:val="center"/>
          </w:tcPr>
          <w:p w14:paraId="4A33589B" w14:textId="77777777" w:rsidR="00B40F4E" w:rsidRDefault="00B40F4E" w:rsidP="00973C1D">
            <w:pPr>
              <w:keepNext/>
              <w:keepLines/>
              <w:spacing w:after="120"/>
              <w:jc w:val="center"/>
              <w:rPr>
                <w:sz w:val="22"/>
                <w:szCs w:val="28"/>
              </w:rPr>
            </w:pPr>
            <w:r>
              <w:rPr>
                <w:sz w:val="22"/>
                <w:szCs w:val="28"/>
              </w:rPr>
              <w:t>2</w:t>
            </w:r>
          </w:p>
        </w:tc>
      </w:tr>
      <w:tr w:rsidR="00B40F4E" w14:paraId="3102A25D" w14:textId="77777777" w:rsidTr="00B40F4E">
        <w:trPr>
          <w:cantSplit/>
        </w:trPr>
        <w:tc>
          <w:tcPr>
            <w:tcW w:w="3600" w:type="dxa"/>
            <w:tcBorders>
              <w:top w:val="nil"/>
              <w:left w:val="nil"/>
              <w:right w:val="nil"/>
            </w:tcBorders>
          </w:tcPr>
          <w:p w14:paraId="75409EEF" w14:textId="77777777" w:rsidR="00B40F4E" w:rsidRDefault="00B40F4E" w:rsidP="00973C1D">
            <w:pPr>
              <w:keepNext/>
              <w:keepLines/>
              <w:spacing w:after="120"/>
              <w:jc w:val="left"/>
              <w:rPr>
                <w:sz w:val="22"/>
                <w:szCs w:val="28"/>
              </w:rPr>
            </w:pPr>
            <w:r>
              <w:rPr>
                <w:sz w:val="22"/>
                <w:szCs w:val="28"/>
              </w:rPr>
              <w:t xml:space="preserve">     Not Hispanic/Latinx</w:t>
            </w:r>
          </w:p>
        </w:tc>
        <w:tc>
          <w:tcPr>
            <w:tcW w:w="1530" w:type="dxa"/>
            <w:tcBorders>
              <w:top w:val="nil"/>
              <w:left w:val="nil"/>
              <w:right w:val="nil"/>
            </w:tcBorders>
            <w:vAlign w:val="center"/>
          </w:tcPr>
          <w:p w14:paraId="4B1E32D5" w14:textId="77777777" w:rsidR="00B40F4E" w:rsidRDefault="00B40F4E" w:rsidP="00973C1D">
            <w:pPr>
              <w:keepNext/>
              <w:keepLines/>
              <w:spacing w:after="120"/>
              <w:jc w:val="center"/>
              <w:rPr>
                <w:sz w:val="22"/>
                <w:szCs w:val="28"/>
              </w:rPr>
            </w:pPr>
            <w:r>
              <w:rPr>
                <w:sz w:val="22"/>
                <w:szCs w:val="28"/>
              </w:rPr>
              <w:t>45</w:t>
            </w:r>
          </w:p>
        </w:tc>
      </w:tr>
    </w:tbl>
    <w:p w14:paraId="526DAE55" w14:textId="77777777" w:rsidR="004F3839" w:rsidRDefault="004F3839" w:rsidP="005C7D9F">
      <w:pPr>
        <w:spacing w:line="480" w:lineRule="auto"/>
        <w:rPr>
          <w:b/>
          <w:bCs/>
        </w:rPr>
      </w:pPr>
    </w:p>
    <w:p w14:paraId="7636FD1C" w14:textId="3480FC5D" w:rsidR="00452687" w:rsidRPr="004A5FC4" w:rsidRDefault="005C55A8" w:rsidP="004A5FC4">
      <w:pPr>
        <w:pStyle w:val="NormalWeb"/>
        <w:spacing w:before="0" w:beforeAutospacing="0" w:after="0" w:afterAutospacing="0" w:line="480" w:lineRule="auto"/>
        <w:ind w:firstLine="720"/>
        <w:jc w:val="both"/>
      </w:pPr>
      <w:r>
        <w:rPr>
          <w:rFonts w:ascii="Calibri" w:hAnsi="Calibri" w:cs="Calibri"/>
          <w:color w:val="000000"/>
        </w:rPr>
        <w:t xml:space="preserve">For </w:t>
      </w:r>
      <w:r w:rsidR="001B745A">
        <w:rPr>
          <w:rFonts w:ascii="Calibri" w:hAnsi="Calibri" w:cs="Calibri"/>
          <w:color w:val="000000"/>
        </w:rPr>
        <w:t>this previous study</w:t>
      </w:r>
      <w:r>
        <w:rPr>
          <w:rFonts w:ascii="Calibri" w:hAnsi="Calibri" w:cs="Calibri"/>
          <w:color w:val="000000"/>
        </w:rPr>
        <w:t xml:space="preserve">, we aimed to recruit as many participants as possible through the noted participant pool during the spring academic term, when quarantine procedures were being implemented in response to the pandemic at the University of Denver. </w:t>
      </w:r>
      <w:r w:rsidR="001B745A">
        <w:rPr>
          <w:rFonts w:ascii="Calibri" w:hAnsi="Calibri" w:cs="Calibri"/>
          <w:color w:val="000000"/>
        </w:rPr>
        <w:t>Sensitivity p</w:t>
      </w:r>
      <w:r>
        <w:rPr>
          <w:rFonts w:ascii="Calibri" w:hAnsi="Calibri" w:cs="Calibri"/>
          <w:color w:val="000000"/>
        </w:rPr>
        <w:t>ower analyses using G*Power (version 3.1.9.4; www.psycho.uni-duesseldorf.de/abteilungen/aap/gpower3/) indicated that with the final sample (</w:t>
      </w:r>
      <w:r w:rsidRPr="00AB6867">
        <w:rPr>
          <w:rFonts w:ascii="Calibri" w:hAnsi="Calibri" w:cs="Calibri"/>
          <w:i/>
          <w:iCs/>
          <w:color w:val="000000"/>
        </w:rPr>
        <w:t>N</w:t>
      </w:r>
      <w:r>
        <w:rPr>
          <w:rFonts w:ascii="Calibri" w:hAnsi="Calibri" w:cs="Calibri"/>
          <w:color w:val="000000"/>
        </w:rPr>
        <w:t xml:space="preserve"> = 47) we had 80% power to detect an effect size of </w:t>
      </w:r>
      <w:r>
        <w:rPr>
          <w:rFonts w:ascii="Calibri" w:hAnsi="Calibri" w:cs="Calibri"/>
          <w:i/>
          <w:iCs/>
          <w:color w:val="000000"/>
        </w:rPr>
        <w:t xml:space="preserve">d </w:t>
      </w:r>
      <w:r>
        <w:rPr>
          <w:rFonts w:ascii="Calibri" w:hAnsi="Calibri" w:cs="Calibri"/>
          <w:color w:val="000000"/>
        </w:rPr>
        <w:t xml:space="preserve">= 0.42 (i.e., between the conventional values for small [0.2] and medium [0.5]) with alpha of .05 </w:t>
      </w:r>
      <w:r>
        <w:rPr>
          <w:rFonts w:ascii="Calibri" w:hAnsi="Calibri" w:cs="Calibri"/>
          <w:color w:val="000000"/>
        </w:rPr>
        <w:lastRenderedPageBreak/>
        <w:t xml:space="preserve">using a two-tailed one-sample </w:t>
      </w:r>
      <w:r w:rsidRPr="00AB6867">
        <w:rPr>
          <w:rFonts w:ascii="Calibri" w:hAnsi="Calibri" w:cs="Calibri"/>
          <w:i/>
          <w:iCs/>
          <w:color w:val="000000"/>
        </w:rPr>
        <w:t>t</w:t>
      </w:r>
      <w:r>
        <w:rPr>
          <w:rFonts w:ascii="Calibri" w:hAnsi="Calibri" w:cs="Calibri"/>
          <w:color w:val="000000"/>
        </w:rPr>
        <w:t xml:space="preserve"> test. </w:t>
      </w:r>
      <w:r w:rsidR="00452687">
        <w:rPr>
          <w:rFonts w:ascii="Calibri" w:hAnsi="Calibri" w:cs="Calibri"/>
          <w:color w:val="000000"/>
        </w:rPr>
        <w:t xml:space="preserve">For an independent-samples </w:t>
      </w:r>
      <w:r w:rsidR="00452687" w:rsidRPr="001C2A74">
        <w:rPr>
          <w:rFonts w:ascii="Calibri" w:hAnsi="Calibri" w:cs="Calibri"/>
          <w:i/>
          <w:iCs/>
          <w:color w:val="000000"/>
        </w:rPr>
        <w:t>t</w:t>
      </w:r>
      <w:r w:rsidR="00452687">
        <w:rPr>
          <w:rFonts w:ascii="Calibri" w:hAnsi="Calibri" w:cs="Calibri"/>
          <w:color w:val="000000"/>
        </w:rPr>
        <w:t xml:space="preserve"> test comparing the samples from </w:t>
      </w:r>
      <w:r w:rsidR="004A5FC4">
        <w:rPr>
          <w:rFonts w:ascii="Calibri" w:hAnsi="Calibri" w:cs="Calibri"/>
          <w:color w:val="000000"/>
        </w:rPr>
        <w:t>the current and previous studies</w:t>
      </w:r>
      <w:r w:rsidR="00452687">
        <w:rPr>
          <w:rFonts w:ascii="Calibri" w:hAnsi="Calibri" w:cs="Calibri"/>
          <w:color w:val="000000"/>
        </w:rPr>
        <w:t xml:space="preserve">, we had the sensitivity to detect an effect size of </w:t>
      </w:r>
      <w:r w:rsidR="00452687">
        <w:rPr>
          <w:rFonts w:ascii="Calibri" w:hAnsi="Calibri" w:cs="Calibri"/>
          <w:i/>
          <w:iCs/>
          <w:color w:val="000000"/>
        </w:rPr>
        <w:t xml:space="preserve">d </w:t>
      </w:r>
      <w:r w:rsidR="00452687">
        <w:rPr>
          <w:rFonts w:ascii="Calibri" w:hAnsi="Calibri" w:cs="Calibri"/>
          <w:color w:val="000000"/>
        </w:rPr>
        <w:t xml:space="preserve">= 0.47. </w:t>
      </w:r>
    </w:p>
    <w:p w14:paraId="4357D74E" w14:textId="748BB27F" w:rsidR="00C353C6" w:rsidRPr="004A5FC4" w:rsidRDefault="004A5FC4" w:rsidP="006A7322">
      <w:pPr>
        <w:pStyle w:val="NormalWeb"/>
        <w:spacing w:before="0" w:beforeAutospacing="0" w:after="0" w:afterAutospacing="0" w:line="480" w:lineRule="auto"/>
        <w:jc w:val="both"/>
        <w:rPr>
          <w:rFonts w:ascii="Calibri" w:hAnsi="Calibri" w:cs="Calibri"/>
          <w:b/>
          <w:bCs/>
          <w:i/>
          <w:iCs/>
          <w:color w:val="000000"/>
        </w:rPr>
      </w:pPr>
      <w:r w:rsidRPr="004A5FC4">
        <w:rPr>
          <w:rFonts w:ascii="Calibri" w:hAnsi="Calibri" w:cs="Calibri"/>
          <w:b/>
          <w:bCs/>
          <w:i/>
          <w:iCs/>
          <w:color w:val="000000"/>
        </w:rPr>
        <w:t>Materials and Analyses</w:t>
      </w:r>
    </w:p>
    <w:p w14:paraId="5EDC6556" w14:textId="04842259" w:rsidR="007D715A" w:rsidRDefault="00AB4999" w:rsidP="004A5FC4">
      <w:pPr>
        <w:pStyle w:val="NormalWeb"/>
        <w:spacing w:before="0" w:beforeAutospacing="0" w:after="0" w:afterAutospacing="0" w:line="480" w:lineRule="auto"/>
        <w:ind w:firstLine="720"/>
        <w:jc w:val="both"/>
        <w:rPr>
          <w:rFonts w:ascii="Calibri" w:hAnsi="Calibri" w:cs="Calibri"/>
          <w:color w:val="000000"/>
        </w:rPr>
      </w:pPr>
      <w:r>
        <w:rPr>
          <w:rFonts w:ascii="Calibri" w:hAnsi="Calibri" w:cs="Calibri"/>
          <w:color w:val="000000"/>
        </w:rPr>
        <w:t xml:space="preserve">Participants in the previous study completed a survey with many of the same materials as the survey in the current study, including the PSS, BDI-II, STAI, and the two custom questionnaires. </w:t>
      </w:r>
      <w:r w:rsidR="004A5FC4">
        <w:rPr>
          <w:rFonts w:ascii="Calibri" w:hAnsi="Calibri" w:cs="Calibri"/>
          <w:color w:val="000000"/>
        </w:rPr>
        <w:t>In addition to the free-response coping items described in the main text, the Pandemic Coping Q</w:t>
      </w:r>
      <w:r w:rsidR="00C353C6">
        <w:rPr>
          <w:rFonts w:ascii="Calibri" w:hAnsi="Calibri" w:cs="Calibri"/>
          <w:color w:val="000000"/>
        </w:rPr>
        <w:t>uestionnaire included ratings of changes in levels of social interaction since the pandemic via text, voice, video, in-person interaction, physical contact, and overall on a scale of 1 (</w:t>
      </w:r>
      <w:r w:rsidR="00C353C6" w:rsidRPr="50B86663">
        <w:rPr>
          <w:rFonts w:ascii="Calibri" w:hAnsi="Calibri" w:cs="Calibri"/>
          <w:i/>
          <w:iCs/>
          <w:color w:val="000000"/>
        </w:rPr>
        <w:t>much less now</w:t>
      </w:r>
      <w:r w:rsidR="00C353C6">
        <w:rPr>
          <w:rFonts w:ascii="Calibri" w:hAnsi="Calibri" w:cs="Calibri"/>
          <w:color w:val="000000"/>
        </w:rPr>
        <w:t>) to 4 (</w:t>
      </w:r>
      <w:r w:rsidR="00C353C6" w:rsidRPr="50B86663">
        <w:rPr>
          <w:rFonts w:ascii="Calibri" w:hAnsi="Calibri" w:cs="Calibri"/>
          <w:i/>
          <w:iCs/>
          <w:color w:val="000000"/>
        </w:rPr>
        <w:t>about the same</w:t>
      </w:r>
      <w:r w:rsidR="00C353C6">
        <w:rPr>
          <w:rFonts w:ascii="Calibri" w:hAnsi="Calibri" w:cs="Calibri"/>
          <w:color w:val="000000"/>
        </w:rPr>
        <w:t>) to 7 (</w:t>
      </w:r>
      <w:r w:rsidR="00C353C6" w:rsidRPr="50B86663">
        <w:rPr>
          <w:rFonts w:ascii="Calibri" w:hAnsi="Calibri" w:cs="Calibri"/>
          <w:i/>
          <w:iCs/>
          <w:color w:val="000000"/>
        </w:rPr>
        <w:t>much more now</w:t>
      </w:r>
      <w:r w:rsidR="00C353C6">
        <w:rPr>
          <w:rFonts w:ascii="Calibri" w:hAnsi="Calibri" w:cs="Calibri"/>
          <w:color w:val="000000"/>
        </w:rPr>
        <w:t>).</w:t>
      </w:r>
      <w:r w:rsidR="004A5FC4">
        <w:rPr>
          <w:rFonts w:ascii="Calibri" w:hAnsi="Calibri" w:cs="Calibri"/>
          <w:color w:val="000000"/>
        </w:rPr>
        <w:t xml:space="preserve"> These items refer to </w:t>
      </w:r>
      <w:r>
        <w:rPr>
          <w:rFonts w:ascii="Calibri" w:hAnsi="Calibri" w:cs="Calibri"/>
          <w:color w:val="000000"/>
        </w:rPr>
        <w:t>changes in total levels of social interactions in these communication domains, and they were completed prior to the ratings of communication frequencies for specific social contacts in the Social Network and Reappraisal Questionnaire.</w:t>
      </w:r>
    </w:p>
    <w:p w14:paraId="64DA7F27" w14:textId="66A64E50" w:rsidR="007D715A" w:rsidRPr="00DE6BE0" w:rsidRDefault="00AB4999" w:rsidP="00DE6BE0">
      <w:pPr>
        <w:pStyle w:val="NormalWeb"/>
        <w:spacing w:before="0" w:beforeAutospacing="0" w:after="0" w:afterAutospacing="0" w:line="480" w:lineRule="auto"/>
        <w:ind w:firstLine="720"/>
        <w:jc w:val="both"/>
        <w:rPr>
          <w:rFonts w:asciiTheme="minorHAnsi" w:hAnsiTheme="minorHAnsi" w:cstheme="minorHAnsi"/>
        </w:rPr>
      </w:pPr>
      <w:r>
        <w:rPr>
          <w:rFonts w:asciiTheme="minorHAnsi" w:hAnsiTheme="minorHAnsi" w:cstheme="minorBidi"/>
        </w:rPr>
        <w:t>O</w:t>
      </w:r>
      <w:r w:rsidR="007D715A" w:rsidRPr="50B86663">
        <w:rPr>
          <w:rFonts w:asciiTheme="minorHAnsi" w:hAnsiTheme="minorHAnsi" w:cstheme="minorBidi"/>
        </w:rPr>
        <w:t xml:space="preserve">ne-sample </w:t>
      </w:r>
      <w:r w:rsidR="007D715A" w:rsidRPr="50B86663">
        <w:rPr>
          <w:rFonts w:asciiTheme="minorHAnsi" w:hAnsiTheme="minorHAnsi" w:cstheme="minorBidi"/>
          <w:i/>
          <w:iCs/>
        </w:rPr>
        <w:t>t</w:t>
      </w:r>
      <w:r w:rsidR="007D715A" w:rsidRPr="50B86663">
        <w:rPr>
          <w:rFonts w:asciiTheme="minorHAnsi" w:hAnsiTheme="minorHAnsi" w:cstheme="minorBidi"/>
        </w:rPr>
        <w:t xml:space="preserve"> tests were performed to analyze changes in levels of social interaction against a test value of four (i.e., no change)</w:t>
      </w:r>
      <w:r>
        <w:rPr>
          <w:rFonts w:asciiTheme="minorHAnsi" w:hAnsiTheme="minorHAnsi" w:cstheme="minorBidi"/>
        </w:rPr>
        <w:t xml:space="preserve"> for the samples of both studies</w:t>
      </w:r>
      <w:r w:rsidR="007D715A" w:rsidRPr="50B86663">
        <w:rPr>
          <w:rFonts w:asciiTheme="minorHAnsi" w:hAnsiTheme="minorHAnsi" w:cstheme="minorBidi"/>
        </w:rPr>
        <w:t xml:space="preserve">. Independent-samples </w:t>
      </w:r>
      <w:r w:rsidR="007D715A" w:rsidRPr="50B86663">
        <w:rPr>
          <w:rFonts w:asciiTheme="minorHAnsi" w:hAnsiTheme="minorHAnsi" w:cstheme="minorBidi"/>
          <w:i/>
          <w:iCs/>
        </w:rPr>
        <w:t>t</w:t>
      </w:r>
      <w:r w:rsidR="007D715A" w:rsidRPr="50B86663">
        <w:rPr>
          <w:rFonts w:asciiTheme="minorHAnsi" w:hAnsiTheme="minorHAnsi" w:cstheme="minorBidi"/>
        </w:rPr>
        <w:t xml:space="preserve"> tests were then used to evaluate Hypothes</w:t>
      </w:r>
      <w:r w:rsidR="00653F51">
        <w:rPr>
          <w:rFonts w:asciiTheme="minorHAnsi" w:hAnsiTheme="minorHAnsi" w:cstheme="minorBidi"/>
        </w:rPr>
        <w:t>i</w:t>
      </w:r>
      <w:r w:rsidR="007D715A" w:rsidRPr="50B86663">
        <w:rPr>
          <w:rFonts w:asciiTheme="minorHAnsi" w:hAnsiTheme="minorHAnsi" w:cstheme="minorBidi"/>
        </w:rPr>
        <w:t xml:space="preserve">s </w:t>
      </w:r>
      <w:r>
        <w:rPr>
          <w:rFonts w:asciiTheme="minorHAnsi" w:hAnsiTheme="minorHAnsi" w:cstheme="minorBidi"/>
        </w:rPr>
        <w:t>S1</w:t>
      </w:r>
      <w:r w:rsidR="00653F51">
        <w:rPr>
          <w:rFonts w:asciiTheme="minorHAnsi" w:hAnsiTheme="minorHAnsi" w:cstheme="minorBidi"/>
        </w:rPr>
        <w:t xml:space="preserve"> by</w:t>
      </w:r>
      <w:r w:rsidR="007D715A" w:rsidRPr="50B86663">
        <w:rPr>
          <w:rFonts w:asciiTheme="minorHAnsi" w:hAnsiTheme="minorHAnsi" w:cstheme="minorBidi"/>
        </w:rPr>
        <w:t xml:space="preserve"> comparing changes in levels of social interaction</w:t>
      </w:r>
      <w:r>
        <w:rPr>
          <w:rFonts w:asciiTheme="minorHAnsi" w:hAnsiTheme="minorHAnsi" w:cstheme="minorBidi"/>
        </w:rPr>
        <w:t xml:space="preserve"> </w:t>
      </w:r>
      <w:r w:rsidR="007D715A" w:rsidRPr="50B86663">
        <w:rPr>
          <w:rFonts w:asciiTheme="minorHAnsi" w:hAnsiTheme="minorHAnsi" w:cstheme="minorBidi"/>
        </w:rPr>
        <w:t>between the current and previous stu</w:t>
      </w:r>
      <w:r w:rsidR="002E1CD8">
        <w:rPr>
          <w:rFonts w:asciiTheme="minorHAnsi" w:hAnsiTheme="minorHAnsi" w:cstheme="minorBidi"/>
        </w:rPr>
        <w:t>dies</w:t>
      </w:r>
      <w:r w:rsidR="007D715A" w:rsidRPr="50B86663">
        <w:rPr>
          <w:rFonts w:asciiTheme="minorHAnsi" w:hAnsiTheme="minorHAnsi" w:cstheme="minorBidi"/>
        </w:rPr>
        <w:t>.</w:t>
      </w:r>
      <w:r w:rsidR="00DE6BE0">
        <w:rPr>
          <w:rFonts w:asciiTheme="minorHAnsi" w:hAnsiTheme="minorHAnsi" w:cstheme="minorBidi"/>
        </w:rPr>
        <w:t xml:space="preserve"> </w:t>
      </w:r>
      <w:r w:rsidR="00653F51">
        <w:rPr>
          <w:rFonts w:asciiTheme="minorHAnsi" w:hAnsiTheme="minorHAnsi" w:cstheme="minorBidi"/>
        </w:rPr>
        <w:t>To evaluate Hypothesis S2, w</w:t>
      </w:r>
      <w:r w:rsidR="00DE6BE0">
        <w:rPr>
          <w:rFonts w:asciiTheme="minorHAnsi" w:hAnsiTheme="minorHAnsi" w:cstheme="minorHAnsi"/>
        </w:rPr>
        <w:t xml:space="preserve">e performed one-sample </w:t>
      </w:r>
      <w:r w:rsidR="00DE6BE0" w:rsidRPr="0001172D">
        <w:rPr>
          <w:rFonts w:asciiTheme="minorHAnsi" w:hAnsiTheme="minorHAnsi" w:cstheme="minorHAnsi"/>
          <w:i/>
          <w:iCs/>
        </w:rPr>
        <w:t>t</w:t>
      </w:r>
      <w:r w:rsidR="00DE6BE0">
        <w:rPr>
          <w:rFonts w:asciiTheme="minorHAnsi" w:hAnsiTheme="minorHAnsi" w:cstheme="minorHAnsi"/>
        </w:rPr>
        <w:t xml:space="preserve"> tests comparing the data </w:t>
      </w:r>
      <w:r w:rsidR="00653F51">
        <w:rPr>
          <w:rFonts w:asciiTheme="minorHAnsi" w:hAnsiTheme="minorHAnsi" w:cstheme="minorHAnsi"/>
        </w:rPr>
        <w:t xml:space="preserve">from each study </w:t>
      </w:r>
      <w:r w:rsidR="00DE6BE0">
        <w:rPr>
          <w:rFonts w:asciiTheme="minorHAnsi" w:hAnsiTheme="minorHAnsi" w:cstheme="minorHAnsi"/>
        </w:rPr>
        <w:t>to the most relevant population normative data we could find for each psychometric measure</w:t>
      </w:r>
      <w:r w:rsidR="00653F51">
        <w:rPr>
          <w:rFonts w:asciiTheme="minorHAnsi" w:hAnsiTheme="minorHAnsi" w:cstheme="minorHAnsi"/>
        </w:rPr>
        <w:t xml:space="preserve">, and we performed independent-samples </w:t>
      </w:r>
      <w:r w:rsidR="00653F51" w:rsidRPr="00653F51">
        <w:rPr>
          <w:rFonts w:asciiTheme="minorHAnsi" w:hAnsiTheme="minorHAnsi" w:cstheme="minorHAnsi"/>
          <w:i/>
          <w:iCs/>
        </w:rPr>
        <w:t>t</w:t>
      </w:r>
      <w:r w:rsidR="00653F51">
        <w:rPr>
          <w:rFonts w:asciiTheme="minorHAnsi" w:hAnsiTheme="minorHAnsi" w:cstheme="minorHAnsi"/>
        </w:rPr>
        <w:t xml:space="preserve"> tests directly comparing mental health symptoms between the samples from each study</w:t>
      </w:r>
      <w:r w:rsidR="00DE6BE0">
        <w:rPr>
          <w:rFonts w:asciiTheme="minorHAnsi" w:hAnsiTheme="minorHAnsi" w:cstheme="minorHAnsi"/>
        </w:rPr>
        <w:t xml:space="preserve">. Outlying data points were excluded from analysis, defined as scores greater than three standard deviations from the mean. The normative data for the PSS were based on a sample of 645 U.S. young adults ages 18-29 (Cohen, 1988). The normative data for the BDI-II were based </w:t>
      </w:r>
      <w:r w:rsidR="00DE6BE0">
        <w:rPr>
          <w:rFonts w:asciiTheme="minorHAnsi" w:hAnsiTheme="minorHAnsi" w:cstheme="minorHAnsi"/>
        </w:rPr>
        <w:lastRenderedPageBreak/>
        <w:t xml:space="preserve">on a sample of 15,233 U.S. undergraduate students (Whisman &amp; Richardson, 2015). The normative data for the </w:t>
      </w:r>
      <w:r w:rsidR="00DE6BE0" w:rsidRPr="001D3FFC">
        <w:rPr>
          <w:rFonts w:asciiTheme="minorHAnsi" w:hAnsiTheme="minorHAnsi" w:cstheme="minorHAnsi"/>
        </w:rPr>
        <w:t>STAI were</w:t>
      </w:r>
      <w:r w:rsidR="00DE6BE0">
        <w:rPr>
          <w:rFonts w:asciiTheme="minorHAnsi" w:hAnsiTheme="minorHAnsi" w:cstheme="minorHAnsi"/>
        </w:rPr>
        <w:t xml:space="preserve"> based on a sample of 855 U.S. undergraduate students (Spielberger et al., 1983). The normative data for the SHAI were based on a combined sample of 225 students and healthy community members (Salkovskis et al., 2002). Larger student or healthy samples were found reporting total scores on the 18-item version of the SHAI, but not the 14-item version we administered. </w:t>
      </w:r>
    </w:p>
    <w:p w14:paraId="49787227" w14:textId="7B486E5C" w:rsidR="007D715A" w:rsidRPr="004A5FC4" w:rsidRDefault="004A5FC4" w:rsidP="006A7322">
      <w:pPr>
        <w:pStyle w:val="NormalWeb"/>
        <w:spacing w:before="0" w:beforeAutospacing="0" w:after="0" w:afterAutospacing="0" w:line="480" w:lineRule="auto"/>
        <w:jc w:val="both"/>
        <w:rPr>
          <w:rFonts w:asciiTheme="minorHAnsi" w:hAnsiTheme="minorHAnsi" w:cstheme="minorHAnsi"/>
          <w:b/>
          <w:bCs/>
          <w:i/>
          <w:iCs/>
        </w:rPr>
      </w:pPr>
      <w:r w:rsidRPr="004A5FC4">
        <w:rPr>
          <w:rFonts w:asciiTheme="minorHAnsi" w:hAnsiTheme="minorHAnsi" w:cstheme="minorHAnsi"/>
          <w:b/>
          <w:bCs/>
          <w:i/>
          <w:iCs/>
        </w:rPr>
        <w:t>Results</w:t>
      </w:r>
      <w:r>
        <w:rPr>
          <w:rFonts w:asciiTheme="minorHAnsi" w:hAnsiTheme="minorHAnsi" w:cstheme="minorHAnsi"/>
          <w:b/>
          <w:bCs/>
          <w:i/>
          <w:iCs/>
        </w:rPr>
        <w:t xml:space="preserve"> and Interpretations</w:t>
      </w:r>
    </w:p>
    <w:p w14:paraId="7C20CC9F" w14:textId="5EC0123A" w:rsidR="007D715A" w:rsidRDefault="002E1CD8" w:rsidP="002E1CD8">
      <w:pPr>
        <w:spacing w:line="480" w:lineRule="auto"/>
        <w:ind w:firstLine="720"/>
        <w:rPr>
          <w:rFonts w:eastAsia="Times New Roman" w:cs="Calibri"/>
          <w:color w:val="000000"/>
        </w:rPr>
      </w:pPr>
      <w:r>
        <w:rPr>
          <w:rFonts w:asciiTheme="minorHAnsi" w:hAnsiTheme="minorHAnsi"/>
          <w:color w:val="000000"/>
        </w:rPr>
        <w:t>P</w:t>
      </w:r>
      <w:r w:rsidRPr="006A7322">
        <w:rPr>
          <w:rFonts w:asciiTheme="minorHAnsi" w:hAnsiTheme="minorHAnsi"/>
          <w:color w:val="000000"/>
        </w:rPr>
        <w:t xml:space="preserve">articipants </w:t>
      </w:r>
      <w:r>
        <w:rPr>
          <w:rFonts w:asciiTheme="minorHAnsi" w:hAnsiTheme="minorHAnsi"/>
          <w:color w:val="000000"/>
        </w:rPr>
        <w:t xml:space="preserve">in the previous study </w:t>
      </w:r>
      <w:r w:rsidRPr="006A7322">
        <w:rPr>
          <w:rFonts w:asciiTheme="minorHAnsi" w:hAnsiTheme="minorHAnsi"/>
          <w:color w:val="000000"/>
        </w:rPr>
        <w:t>reported significant changes in levels of social interaction across all modalities, with decreases in overall (</w:t>
      </w:r>
      <w:r w:rsidRPr="006A7322">
        <w:rPr>
          <w:rFonts w:asciiTheme="minorHAnsi" w:hAnsiTheme="minorHAnsi"/>
          <w:i/>
          <w:iCs/>
          <w:color w:val="000000"/>
        </w:rPr>
        <w:t>t</w:t>
      </w:r>
      <w:r w:rsidRPr="006A7322">
        <w:rPr>
          <w:rFonts w:asciiTheme="minorHAnsi" w:hAnsiTheme="minorHAnsi"/>
          <w:color w:val="000000"/>
        </w:rPr>
        <w:t xml:space="preserve">(46) = 6.38, </w:t>
      </w:r>
      <w:r w:rsidRPr="006A7322">
        <w:rPr>
          <w:rFonts w:asciiTheme="minorHAnsi" w:hAnsiTheme="minorHAnsi"/>
          <w:i/>
          <w:iCs/>
          <w:color w:val="000000"/>
        </w:rPr>
        <w:t>p</w:t>
      </w:r>
      <w:r w:rsidRPr="006A7322">
        <w:rPr>
          <w:rFonts w:asciiTheme="minorHAnsi" w:hAnsiTheme="minorHAnsi"/>
          <w:color w:val="000000"/>
        </w:rPr>
        <w:t xml:space="preserve"> &lt; .001, </w:t>
      </w:r>
      <w:r w:rsidRPr="006A7322">
        <w:rPr>
          <w:rFonts w:asciiTheme="minorHAnsi" w:hAnsiTheme="minorHAnsi"/>
          <w:i/>
          <w:iCs/>
          <w:color w:val="000000"/>
        </w:rPr>
        <w:t>d</w:t>
      </w:r>
      <w:r w:rsidRPr="006A7322">
        <w:rPr>
          <w:rFonts w:asciiTheme="minorHAnsi" w:hAnsiTheme="minorHAnsi"/>
          <w:color w:val="000000"/>
        </w:rPr>
        <w:t xml:space="preserve"> = 0.93), in-person (</w:t>
      </w:r>
      <w:r w:rsidRPr="006A7322">
        <w:rPr>
          <w:rFonts w:asciiTheme="minorHAnsi" w:hAnsiTheme="minorHAnsi"/>
          <w:i/>
          <w:iCs/>
          <w:color w:val="000000"/>
        </w:rPr>
        <w:t>t</w:t>
      </w:r>
      <w:r w:rsidRPr="006A7322">
        <w:rPr>
          <w:rFonts w:asciiTheme="minorHAnsi" w:hAnsiTheme="minorHAnsi"/>
          <w:color w:val="000000"/>
        </w:rPr>
        <w:t xml:space="preserve">(45) = 8.94, </w:t>
      </w:r>
      <w:r w:rsidRPr="006A7322">
        <w:rPr>
          <w:rFonts w:asciiTheme="minorHAnsi" w:hAnsiTheme="minorHAnsi"/>
          <w:i/>
          <w:iCs/>
          <w:color w:val="000000"/>
        </w:rPr>
        <w:t>p</w:t>
      </w:r>
      <w:r w:rsidRPr="006A7322">
        <w:rPr>
          <w:rFonts w:asciiTheme="minorHAnsi" w:hAnsiTheme="minorHAnsi"/>
          <w:color w:val="000000"/>
        </w:rPr>
        <w:t xml:space="preserve"> &lt; .001, </w:t>
      </w:r>
      <w:r w:rsidRPr="006A7322">
        <w:rPr>
          <w:rFonts w:asciiTheme="minorHAnsi" w:hAnsiTheme="minorHAnsi"/>
          <w:i/>
          <w:iCs/>
          <w:color w:val="000000"/>
        </w:rPr>
        <w:t>d</w:t>
      </w:r>
      <w:r w:rsidRPr="006A7322">
        <w:rPr>
          <w:rFonts w:asciiTheme="minorHAnsi" w:hAnsiTheme="minorHAnsi"/>
          <w:color w:val="000000"/>
        </w:rPr>
        <w:t xml:space="preserve"> = 1.32), and physical interaction (</w:t>
      </w:r>
      <w:r w:rsidRPr="006A7322">
        <w:rPr>
          <w:rFonts w:asciiTheme="minorHAnsi" w:hAnsiTheme="minorHAnsi"/>
          <w:i/>
          <w:iCs/>
          <w:color w:val="000000"/>
        </w:rPr>
        <w:t>t</w:t>
      </w:r>
      <w:r w:rsidRPr="006A7322">
        <w:rPr>
          <w:rFonts w:asciiTheme="minorHAnsi" w:hAnsiTheme="minorHAnsi"/>
          <w:color w:val="000000"/>
        </w:rPr>
        <w:t xml:space="preserve">(46) = 5.71, </w:t>
      </w:r>
      <w:r w:rsidRPr="006A7322">
        <w:rPr>
          <w:rFonts w:asciiTheme="minorHAnsi" w:hAnsiTheme="minorHAnsi"/>
          <w:i/>
          <w:iCs/>
          <w:color w:val="000000"/>
        </w:rPr>
        <w:t>p</w:t>
      </w:r>
      <w:r w:rsidRPr="006A7322">
        <w:rPr>
          <w:rFonts w:asciiTheme="minorHAnsi" w:hAnsiTheme="minorHAnsi"/>
          <w:color w:val="000000"/>
        </w:rPr>
        <w:t xml:space="preserve"> &lt; .001, </w:t>
      </w:r>
      <w:r w:rsidRPr="006A7322">
        <w:rPr>
          <w:rFonts w:asciiTheme="minorHAnsi" w:hAnsiTheme="minorHAnsi"/>
          <w:i/>
          <w:iCs/>
          <w:color w:val="000000"/>
        </w:rPr>
        <w:t>d</w:t>
      </w:r>
      <w:r w:rsidRPr="006A7322">
        <w:rPr>
          <w:rFonts w:asciiTheme="minorHAnsi" w:hAnsiTheme="minorHAnsi"/>
          <w:color w:val="000000"/>
        </w:rPr>
        <w:t xml:space="preserve"> = 0.83), and increases in text-based (</w:t>
      </w:r>
      <w:r w:rsidRPr="006A7322">
        <w:rPr>
          <w:rFonts w:asciiTheme="minorHAnsi" w:hAnsiTheme="minorHAnsi"/>
          <w:i/>
          <w:iCs/>
          <w:color w:val="000000"/>
        </w:rPr>
        <w:t>t</w:t>
      </w:r>
      <w:r w:rsidRPr="006A7322">
        <w:rPr>
          <w:rFonts w:asciiTheme="minorHAnsi" w:hAnsiTheme="minorHAnsi"/>
          <w:color w:val="000000"/>
        </w:rPr>
        <w:t xml:space="preserve">(46) = 3.57, </w:t>
      </w:r>
      <w:r w:rsidRPr="006A7322">
        <w:rPr>
          <w:rFonts w:asciiTheme="minorHAnsi" w:hAnsiTheme="minorHAnsi"/>
          <w:i/>
          <w:iCs/>
          <w:color w:val="000000"/>
        </w:rPr>
        <w:t>p</w:t>
      </w:r>
      <w:r w:rsidRPr="006A7322">
        <w:rPr>
          <w:rFonts w:asciiTheme="minorHAnsi" w:hAnsiTheme="minorHAnsi"/>
          <w:color w:val="000000"/>
        </w:rPr>
        <w:t xml:space="preserve"> = .001, </w:t>
      </w:r>
      <w:r w:rsidRPr="006A7322">
        <w:rPr>
          <w:rFonts w:asciiTheme="minorHAnsi" w:hAnsiTheme="minorHAnsi"/>
          <w:i/>
          <w:iCs/>
          <w:color w:val="000000"/>
        </w:rPr>
        <w:t>d</w:t>
      </w:r>
      <w:r w:rsidRPr="006A7322">
        <w:rPr>
          <w:rFonts w:asciiTheme="minorHAnsi" w:hAnsiTheme="minorHAnsi"/>
          <w:color w:val="000000"/>
        </w:rPr>
        <w:t xml:space="preserve"> = 0.52), voice-based (</w:t>
      </w:r>
      <w:r w:rsidRPr="006A7322">
        <w:rPr>
          <w:rFonts w:asciiTheme="minorHAnsi" w:hAnsiTheme="minorHAnsi"/>
          <w:i/>
          <w:iCs/>
          <w:color w:val="000000"/>
        </w:rPr>
        <w:t>t</w:t>
      </w:r>
      <w:r w:rsidRPr="006A7322">
        <w:rPr>
          <w:rFonts w:asciiTheme="minorHAnsi" w:hAnsiTheme="minorHAnsi"/>
          <w:color w:val="000000"/>
        </w:rPr>
        <w:t xml:space="preserve">(46) = 2.06, </w:t>
      </w:r>
      <w:r w:rsidRPr="006A7322">
        <w:rPr>
          <w:rFonts w:asciiTheme="minorHAnsi" w:hAnsiTheme="minorHAnsi"/>
          <w:i/>
          <w:iCs/>
          <w:color w:val="000000"/>
        </w:rPr>
        <w:t>p</w:t>
      </w:r>
      <w:r w:rsidRPr="006A7322">
        <w:rPr>
          <w:rFonts w:asciiTheme="minorHAnsi" w:hAnsiTheme="minorHAnsi"/>
          <w:color w:val="000000"/>
        </w:rPr>
        <w:t xml:space="preserve"> = .045, </w:t>
      </w:r>
      <w:r w:rsidRPr="006A7322">
        <w:rPr>
          <w:rFonts w:asciiTheme="minorHAnsi" w:hAnsiTheme="minorHAnsi"/>
          <w:i/>
          <w:iCs/>
          <w:color w:val="000000"/>
        </w:rPr>
        <w:t>d</w:t>
      </w:r>
      <w:r w:rsidRPr="006A7322">
        <w:rPr>
          <w:rFonts w:asciiTheme="minorHAnsi" w:hAnsiTheme="minorHAnsi"/>
          <w:color w:val="000000"/>
        </w:rPr>
        <w:t xml:space="preserve"> = 0.30), and video-based interaction (</w:t>
      </w:r>
      <w:r w:rsidRPr="006A7322">
        <w:rPr>
          <w:rFonts w:asciiTheme="minorHAnsi" w:hAnsiTheme="minorHAnsi"/>
          <w:i/>
          <w:iCs/>
          <w:color w:val="000000"/>
        </w:rPr>
        <w:t>t</w:t>
      </w:r>
      <w:r w:rsidRPr="006A7322">
        <w:rPr>
          <w:rFonts w:asciiTheme="minorHAnsi" w:hAnsiTheme="minorHAnsi"/>
          <w:color w:val="000000"/>
        </w:rPr>
        <w:t xml:space="preserve">(46) = 8.77, </w:t>
      </w:r>
      <w:r w:rsidRPr="006A7322">
        <w:rPr>
          <w:rFonts w:asciiTheme="minorHAnsi" w:hAnsiTheme="minorHAnsi"/>
          <w:i/>
          <w:iCs/>
          <w:color w:val="000000"/>
        </w:rPr>
        <w:t>p</w:t>
      </w:r>
      <w:r w:rsidRPr="006A7322">
        <w:rPr>
          <w:rFonts w:asciiTheme="minorHAnsi" w:hAnsiTheme="minorHAnsi"/>
          <w:color w:val="000000"/>
        </w:rPr>
        <w:t xml:space="preserve"> &lt; .001, </w:t>
      </w:r>
      <w:r w:rsidRPr="006A7322">
        <w:rPr>
          <w:rFonts w:asciiTheme="minorHAnsi" w:hAnsiTheme="minorHAnsi"/>
          <w:i/>
          <w:iCs/>
          <w:color w:val="000000"/>
        </w:rPr>
        <w:t>d</w:t>
      </w:r>
      <w:r w:rsidRPr="006A7322">
        <w:rPr>
          <w:rFonts w:asciiTheme="minorHAnsi" w:hAnsiTheme="minorHAnsi"/>
          <w:color w:val="000000"/>
        </w:rPr>
        <w:t xml:space="preserve"> = 1.28</w:t>
      </w:r>
      <w:r>
        <w:rPr>
          <w:rFonts w:asciiTheme="minorHAnsi" w:hAnsiTheme="minorHAnsi"/>
          <w:color w:val="000000"/>
        </w:rPr>
        <w:t>; Table S2</w:t>
      </w:r>
      <w:r w:rsidR="009925F7">
        <w:rPr>
          <w:rFonts w:asciiTheme="minorHAnsi" w:hAnsiTheme="minorHAnsi"/>
          <w:color w:val="000000"/>
        </w:rPr>
        <w:t xml:space="preserve"> and</w:t>
      </w:r>
      <w:r>
        <w:rPr>
          <w:rFonts w:asciiTheme="minorHAnsi" w:hAnsiTheme="minorHAnsi"/>
          <w:color w:val="000000"/>
        </w:rPr>
        <w:t xml:space="preserve"> Figure</w:t>
      </w:r>
      <w:r w:rsidR="009925F7">
        <w:rPr>
          <w:rFonts w:asciiTheme="minorHAnsi" w:hAnsiTheme="minorHAnsi"/>
          <w:color w:val="000000"/>
        </w:rPr>
        <w:t xml:space="preserve"> S1</w:t>
      </w:r>
      <w:r>
        <w:rPr>
          <w:rFonts w:asciiTheme="minorHAnsi" w:hAnsiTheme="minorHAnsi"/>
          <w:color w:val="000000"/>
        </w:rPr>
        <w:t>).</w:t>
      </w:r>
      <w:r>
        <w:rPr>
          <w:rFonts w:eastAsia="Times New Roman" w:cs="Calibri"/>
          <w:color w:val="000000"/>
        </w:rPr>
        <w:t xml:space="preserve"> Similarly, participants in the current study reported</w:t>
      </w:r>
      <w:r w:rsidR="007D715A">
        <w:rPr>
          <w:rFonts w:eastAsia="Times New Roman" w:cs="Calibri"/>
          <w:color w:val="000000"/>
        </w:rPr>
        <w:t xml:space="preserve"> decreased overall (</w:t>
      </w:r>
      <w:r w:rsidR="007D715A" w:rsidRPr="00B42087">
        <w:rPr>
          <w:rFonts w:eastAsia="Times New Roman" w:cs="Calibri"/>
          <w:i/>
          <w:color w:val="000000"/>
        </w:rPr>
        <w:t>t</w:t>
      </w:r>
      <w:r w:rsidR="007D715A">
        <w:rPr>
          <w:rFonts w:eastAsia="Times New Roman" w:cs="Calibri"/>
          <w:color w:val="000000"/>
        </w:rPr>
        <w:t xml:space="preserve">(151) = 11.16, </w:t>
      </w:r>
      <w:r w:rsidR="007D715A" w:rsidRPr="00B42087">
        <w:rPr>
          <w:rFonts w:eastAsia="Times New Roman" w:cs="Calibri"/>
          <w:i/>
          <w:color w:val="000000"/>
        </w:rPr>
        <w:t>p</w:t>
      </w:r>
      <w:r w:rsidR="007D715A">
        <w:rPr>
          <w:rFonts w:eastAsia="Times New Roman" w:cs="Calibri"/>
          <w:color w:val="000000"/>
        </w:rPr>
        <w:t xml:space="preserve"> &lt; .001, </w:t>
      </w:r>
      <w:r w:rsidR="007D715A" w:rsidRPr="00B42087">
        <w:rPr>
          <w:rFonts w:eastAsia="Times New Roman" w:cs="Calibri"/>
          <w:i/>
          <w:color w:val="000000"/>
        </w:rPr>
        <w:t>d</w:t>
      </w:r>
      <w:r w:rsidR="007D715A">
        <w:rPr>
          <w:rFonts w:eastAsia="Times New Roman" w:cs="Calibri"/>
          <w:color w:val="000000"/>
        </w:rPr>
        <w:t xml:space="preserve"> = 0.91), in-person (</w:t>
      </w:r>
      <w:r w:rsidR="007D715A" w:rsidRPr="00B42087">
        <w:rPr>
          <w:rFonts w:eastAsia="Times New Roman" w:cs="Calibri"/>
          <w:i/>
          <w:color w:val="000000"/>
        </w:rPr>
        <w:t>t</w:t>
      </w:r>
      <w:r w:rsidR="007D715A">
        <w:rPr>
          <w:rFonts w:eastAsia="Times New Roman" w:cs="Calibri"/>
          <w:color w:val="000000"/>
        </w:rPr>
        <w:t xml:space="preserve">(151) = 12.69, </w:t>
      </w:r>
      <w:r w:rsidR="007D715A" w:rsidRPr="00B42087">
        <w:rPr>
          <w:rFonts w:eastAsia="Times New Roman" w:cs="Calibri"/>
          <w:i/>
          <w:color w:val="000000"/>
        </w:rPr>
        <w:t>p</w:t>
      </w:r>
      <w:r w:rsidR="007D715A">
        <w:rPr>
          <w:rFonts w:eastAsia="Times New Roman" w:cs="Calibri"/>
          <w:color w:val="000000"/>
        </w:rPr>
        <w:t xml:space="preserve"> &lt; .001, </w:t>
      </w:r>
      <w:r w:rsidR="007D715A" w:rsidRPr="00B42087">
        <w:rPr>
          <w:rFonts w:eastAsia="Times New Roman" w:cs="Calibri"/>
          <w:i/>
          <w:color w:val="000000"/>
        </w:rPr>
        <w:t>d</w:t>
      </w:r>
      <w:r w:rsidR="007D715A">
        <w:rPr>
          <w:rFonts w:eastAsia="Times New Roman" w:cs="Calibri"/>
          <w:color w:val="000000"/>
        </w:rPr>
        <w:t xml:space="preserve"> = 1.03), and physical interaction (</w:t>
      </w:r>
      <w:r w:rsidR="007D715A" w:rsidRPr="00B42087">
        <w:rPr>
          <w:rFonts w:eastAsia="Times New Roman" w:cs="Calibri"/>
          <w:i/>
          <w:color w:val="000000"/>
        </w:rPr>
        <w:t>t</w:t>
      </w:r>
      <w:r w:rsidR="007D715A">
        <w:rPr>
          <w:rFonts w:eastAsia="Times New Roman" w:cs="Calibri"/>
          <w:color w:val="000000"/>
        </w:rPr>
        <w:t xml:space="preserve">(151) = 9.54, </w:t>
      </w:r>
      <w:r w:rsidR="007D715A" w:rsidRPr="00B42087">
        <w:rPr>
          <w:rFonts w:eastAsia="Times New Roman" w:cs="Calibri"/>
          <w:i/>
          <w:color w:val="000000"/>
        </w:rPr>
        <w:t>p</w:t>
      </w:r>
      <w:r w:rsidR="007D715A">
        <w:rPr>
          <w:rFonts w:eastAsia="Times New Roman" w:cs="Calibri"/>
          <w:color w:val="000000"/>
        </w:rPr>
        <w:t xml:space="preserve"> &lt; .001, </w:t>
      </w:r>
      <w:r w:rsidR="007D715A" w:rsidRPr="00B42087">
        <w:rPr>
          <w:rFonts w:eastAsia="Times New Roman" w:cs="Calibri"/>
          <w:i/>
          <w:color w:val="000000"/>
        </w:rPr>
        <w:t>d</w:t>
      </w:r>
      <w:r w:rsidR="007D715A">
        <w:rPr>
          <w:rFonts w:eastAsia="Times New Roman" w:cs="Calibri"/>
          <w:color w:val="000000"/>
        </w:rPr>
        <w:t xml:space="preserve"> = 0.77), and increased text-based (</w:t>
      </w:r>
      <w:r w:rsidR="007D715A" w:rsidRPr="00B42087">
        <w:rPr>
          <w:rFonts w:eastAsia="Times New Roman" w:cs="Calibri"/>
          <w:i/>
          <w:color w:val="000000"/>
        </w:rPr>
        <w:t>t</w:t>
      </w:r>
      <w:r w:rsidR="007D715A">
        <w:rPr>
          <w:rFonts w:eastAsia="Times New Roman" w:cs="Calibri"/>
          <w:color w:val="000000"/>
        </w:rPr>
        <w:t xml:space="preserve">(151) = 5.82, </w:t>
      </w:r>
      <w:r w:rsidR="007D715A" w:rsidRPr="00B42087">
        <w:rPr>
          <w:rFonts w:eastAsia="Times New Roman" w:cs="Calibri"/>
          <w:i/>
          <w:color w:val="000000"/>
        </w:rPr>
        <w:t>p</w:t>
      </w:r>
      <w:r w:rsidR="007D715A">
        <w:rPr>
          <w:rFonts w:eastAsia="Times New Roman" w:cs="Calibri"/>
          <w:color w:val="000000"/>
        </w:rPr>
        <w:t xml:space="preserve"> &lt; .001, </w:t>
      </w:r>
      <w:r w:rsidR="007D715A" w:rsidRPr="00B42087">
        <w:rPr>
          <w:rFonts w:eastAsia="Times New Roman" w:cs="Calibri"/>
          <w:i/>
          <w:color w:val="000000"/>
        </w:rPr>
        <w:t>d</w:t>
      </w:r>
      <w:r w:rsidR="007D715A">
        <w:rPr>
          <w:rFonts w:eastAsia="Times New Roman" w:cs="Calibri"/>
          <w:color w:val="000000"/>
        </w:rPr>
        <w:t xml:space="preserve"> = 0.47), voice-based (</w:t>
      </w:r>
      <w:r w:rsidR="007D715A" w:rsidRPr="00B42087">
        <w:rPr>
          <w:rFonts w:eastAsia="Times New Roman" w:cs="Calibri"/>
          <w:i/>
          <w:color w:val="000000"/>
        </w:rPr>
        <w:t>t</w:t>
      </w:r>
      <w:r w:rsidR="007D715A">
        <w:rPr>
          <w:rFonts w:eastAsia="Times New Roman" w:cs="Calibri"/>
          <w:color w:val="000000"/>
        </w:rPr>
        <w:t xml:space="preserve">(151) = 4.90, </w:t>
      </w:r>
      <w:r w:rsidR="007D715A" w:rsidRPr="00B42087">
        <w:rPr>
          <w:rFonts w:eastAsia="Times New Roman" w:cs="Calibri"/>
          <w:i/>
          <w:color w:val="000000"/>
        </w:rPr>
        <w:t>p</w:t>
      </w:r>
      <w:r w:rsidR="007D715A">
        <w:rPr>
          <w:rFonts w:eastAsia="Times New Roman" w:cs="Calibri"/>
          <w:color w:val="000000"/>
        </w:rPr>
        <w:t xml:space="preserve"> &lt; .001, </w:t>
      </w:r>
      <w:r w:rsidR="007D715A" w:rsidRPr="00B42087">
        <w:rPr>
          <w:rFonts w:eastAsia="Times New Roman" w:cs="Calibri"/>
          <w:i/>
          <w:color w:val="000000"/>
        </w:rPr>
        <w:t>d</w:t>
      </w:r>
      <w:r w:rsidR="007D715A">
        <w:rPr>
          <w:rFonts w:eastAsia="Times New Roman" w:cs="Calibri"/>
          <w:color w:val="000000"/>
        </w:rPr>
        <w:t xml:space="preserve"> = 0.40), and video-based interaction (</w:t>
      </w:r>
      <w:r w:rsidR="007D715A" w:rsidRPr="00B42087">
        <w:rPr>
          <w:rFonts w:eastAsia="Times New Roman" w:cs="Calibri"/>
          <w:i/>
          <w:color w:val="000000"/>
        </w:rPr>
        <w:t>t</w:t>
      </w:r>
      <w:r w:rsidR="007D715A">
        <w:rPr>
          <w:rFonts w:eastAsia="Times New Roman" w:cs="Calibri"/>
          <w:color w:val="000000"/>
        </w:rPr>
        <w:t xml:space="preserve">(151) = 9.73, </w:t>
      </w:r>
      <w:r w:rsidR="007D715A" w:rsidRPr="00B42087">
        <w:rPr>
          <w:rFonts w:eastAsia="Times New Roman" w:cs="Calibri"/>
          <w:i/>
          <w:color w:val="000000"/>
        </w:rPr>
        <w:t>p</w:t>
      </w:r>
      <w:r w:rsidR="007D715A">
        <w:rPr>
          <w:rFonts w:eastAsia="Times New Roman" w:cs="Calibri"/>
          <w:color w:val="000000"/>
        </w:rPr>
        <w:t xml:space="preserve"> &lt; .001, </w:t>
      </w:r>
      <w:r w:rsidR="007D715A" w:rsidRPr="00B42087">
        <w:rPr>
          <w:rFonts w:eastAsia="Times New Roman" w:cs="Calibri"/>
          <w:i/>
          <w:color w:val="000000"/>
        </w:rPr>
        <w:t>d</w:t>
      </w:r>
      <w:r w:rsidR="007D715A">
        <w:rPr>
          <w:rFonts w:eastAsia="Times New Roman" w:cs="Calibri"/>
          <w:color w:val="000000"/>
        </w:rPr>
        <w:t xml:space="preserve"> = 0.79</w:t>
      </w:r>
      <w:r>
        <w:rPr>
          <w:rFonts w:eastAsia="Times New Roman" w:cs="Calibri"/>
          <w:color w:val="000000"/>
        </w:rPr>
        <w:t>; Table S2</w:t>
      </w:r>
      <w:r w:rsidR="009925F7">
        <w:rPr>
          <w:rFonts w:eastAsia="Times New Roman" w:cs="Calibri"/>
          <w:color w:val="000000"/>
        </w:rPr>
        <w:t xml:space="preserve"> and Figure S1</w:t>
      </w:r>
      <w:r w:rsidR="007D715A">
        <w:rPr>
          <w:rFonts w:eastAsia="Times New Roman" w:cs="Calibri"/>
          <w:color w:val="000000"/>
        </w:rPr>
        <w:t xml:space="preserve">). Independent-samples </w:t>
      </w:r>
      <w:r w:rsidR="007D715A" w:rsidRPr="00CF56DF">
        <w:rPr>
          <w:rFonts w:eastAsia="Times New Roman" w:cs="Calibri"/>
          <w:i/>
          <w:iCs/>
          <w:color w:val="000000"/>
        </w:rPr>
        <w:t>t</w:t>
      </w:r>
      <w:r w:rsidR="007D715A">
        <w:rPr>
          <w:rFonts w:eastAsia="Times New Roman" w:cs="Calibri"/>
          <w:color w:val="000000"/>
        </w:rPr>
        <w:t xml:space="preserve"> tests indicated that these changes were smaller in the current study for in-person interactions (</w:t>
      </w:r>
      <w:r w:rsidR="007D715A" w:rsidRPr="00B42087">
        <w:rPr>
          <w:rFonts w:eastAsia="Times New Roman" w:cs="Calibri"/>
          <w:i/>
          <w:color w:val="000000"/>
        </w:rPr>
        <w:t>t</w:t>
      </w:r>
      <w:r w:rsidR="007D715A">
        <w:rPr>
          <w:rFonts w:eastAsia="Times New Roman" w:cs="Calibri"/>
          <w:color w:val="000000"/>
        </w:rPr>
        <w:t xml:space="preserve">(196) = 3.55, </w:t>
      </w:r>
      <w:r w:rsidR="007D715A" w:rsidRPr="00B42087">
        <w:rPr>
          <w:rFonts w:eastAsia="Times New Roman" w:cs="Calibri"/>
          <w:i/>
          <w:color w:val="000000"/>
        </w:rPr>
        <w:t>p</w:t>
      </w:r>
      <w:r w:rsidR="007D715A">
        <w:rPr>
          <w:rFonts w:eastAsia="Times New Roman" w:cs="Calibri"/>
          <w:color w:val="000000"/>
        </w:rPr>
        <w:t xml:space="preserve"> &lt; .001, </w:t>
      </w:r>
      <w:r w:rsidR="007D715A" w:rsidRPr="00B42087">
        <w:rPr>
          <w:rFonts w:eastAsia="Times New Roman" w:cs="Calibri"/>
          <w:i/>
          <w:color w:val="000000"/>
        </w:rPr>
        <w:t>d</w:t>
      </w:r>
      <w:r w:rsidR="007D715A">
        <w:rPr>
          <w:rFonts w:eastAsia="Times New Roman" w:cs="Calibri"/>
          <w:color w:val="000000"/>
        </w:rPr>
        <w:t xml:space="preserve"> = 0.56) and video-based interactions relative to the previous study (</w:t>
      </w:r>
      <w:r w:rsidR="007D715A" w:rsidRPr="00B42087">
        <w:rPr>
          <w:rFonts w:eastAsia="Times New Roman" w:cs="Calibri"/>
          <w:i/>
          <w:color w:val="000000"/>
        </w:rPr>
        <w:t>t</w:t>
      </w:r>
      <w:r w:rsidR="007D715A">
        <w:rPr>
          <w:rFonts w:eastAsia="Times New Roman" w:cs="Calibri"/>
          <w:color w:val="000000"/>
        </w:rPr>
        <w:t xml:space="preserve">(197) = 2.24, </w:t>
      </w:r>
      <w:r w:rsidR="007D715A" w:rsidRPr="00B42087">
        <w:rPr>
          <w:rFonts w:eastAsia="Times New Roman" w:cs="Calibri"/>
          <w:i/>
          <w:color w:val="000000"/>
        </w:rPr>
        <w:t>p</w:t>
      </w:r>
      <w:r w:rsidR="007D715A">
        <w:rPr>
          <w:rFonts w:eastAsia="Times New Roman" w:cs="Calibri"/>
          <w:color w:val="000000"/>
        </w:rPr>
        <w:t xml:space="preserve"> = .026, </w:t>
      </w:r>
      <w:r w:rsidR="007D715A" w:rsidRPr="00B42087">
        <w:rPr>
          <w:rFonts w:eastAsia="Times New Roman" w:cs="Calibri"/>
          <w:i/>
          <w:color w:val="000000"/>
        </w:rPr>
        <w:t>d</w:t>
      </w:r>
      <w:r w:rsidR="007D715A">
        <w:rPr>
          <w:rFonts w:eastAsia="Times New Roman" w:cs="Calibri"/>
          <w:color w:val="000000"/>
        </w:rPr>
        <w:t xml:space="preserve"> = 0.38; all other </w:t>
      </w:r>
      <w:r w:rsidR="007D715A" w:rsidRPr="00A250B6">
        <w:rPr>
          <w:rFonts w:eastAsia="Times New Roman" w:cs="Calibri"/>
          <w:i/>
          <w:iCs/>
          <w:color w:val="000000"/>
        </w:rPr>
        <w:t>p</w:t>
      </w:r>
      <w:r w:rsidR="007D715A">
        <w:rPr>
          <w:rFonts w:eastAsia="Times New Roman" w:cs="Calibri"/>
          <w:color w:val="000000"/>
        </w:rPr>
        <w:t>s &gt; .05</w:t>
      </w:r>
      <w:r>
        <w:rPr>
          <w:rFonts w:eastAsia="Times New Roman" w:cs="Calibri"/>
          <w:color w:val="000000"/>
        </w:rPr>
        <w:t>)</w:t>
      </w:r>
      <w:r w:rsidR="007D715A">
        <w:rPr>
          <w:rFonts w:eastAsia="Times New Roman" w:cs="Calibri"/>
          <w:color w:val="000000"/>
        </w:rPr>
        <w:t xml:space="preserve">. These results provide partial support for Hypothesis </w:t>
      </w:r>
      <w:r>
        <w:rPr>
          <w:rFonts w:eastAsia="Times New Roman" w:cs="Calibri"/>
          <w:color w:val="000000"/>
        </w:rPr>
        <w:t>S1</w:t>
      </w:r>
      <w:r w:rsidR="007D715A">
        <w:rPr>
          <w:rFonts w:eastAsia="Times New Roman" w:cs="Calibri"/>
          <w:color w:val="000000"/>
        </w:rPr>
        <w:t>.</w:t>
      </w:r>
    </w:p>
    <w:p w14:paraId="5F55DD89" w14:textId="28D7B8EF" w:rsidR="007D715A" w:rsidRDefault="007D715A" w:rsidP="006A7322">
      <w:pPr>
        <w:pStyle w:val="NormalWeb"/>
        <w:spacing w:before="0" w:beforeAutospacing="0" w:after="0" w:afterAutospacing="0" w:line="480" w:lineRule="auto"/>
        <w:jc w:val="both"/>
        <w:rPr>
          <w:rFonts w:asciiTheme="minorHAnsi" w:hAnsiTheme="minorHAnsi" w:cstheme="minorHAnsi"/>
          <w:color w:val="000000"/>
        </w:rPr>
      </w:pPr>
    </w:p>
    <w:p w14:paraId="137CD969" w14:textId="6D504A56" w:rsidR="007D715A" w:rsidRPr="00757A14" w:rsidRDefault="007D715A" w:rsidP="007D715A">
      <w:pPr>
        <w:keepNext/>
        <w:keepLines/>
        <w:spacing w:line="480" w:lineRule="auto"/>
        <w:rPr>
          <w:b/>
        </w:rPr>
      </w:pPr>
      <w:r w:rsidRPr="00757A14">
        <w:rPr>
          <w:b/>
        </w:rPr>
        <w:lastRenderedPageBreak/>
        <w:t xml:space="preserve">Table </w:t>
      </w:r>
      <w:r w:rsidR="002E1CD8">
        <w:rPr>
          <w:b/>
        </w:rPr>
        <w:t>S2</w:t>
      </w:r>
    </w:p>
    <w:p w14:paraId="37AD42BF" w14:textId="77777777" w:rsidR="007D715A" w:rsidRPr="001300DF" w:rsidRDefault="007D715A" w:rsidP="007D715A">
      <w:pPr>
        <w:keepNext/>
        <w:keepLines/>
        <w:spacing w:line="480" w:lineRule="auto"/>
        <w:rPr>
          <w:i/>
        </w:rPr>
      </w:pPr>
      <w:r>
        <w:rPr>
          <w:i/>
        </w:rPr>
        <w:t>Score Means and Standard Deviations by Study</w:t>
      </w:r>
    </w:p>
    <w:tbl>
      <w:tblPr>
        <w:tblStyle w:val="TableGrid"/>
        <w:tblW w:w="7740" w:type="dxa"/>
        <w:tblLook w:val="04A0" w:firstRow="1" w:lastRow="0" w:firstColumn="1" w:lastColumn="0" w:noHBand="0" w:noVBand="1"/>
      </w:tblPr>
      <w:tblGrid>
        <w:gridCol w:w="3685"/>
        <w:gridCol w:w="1985"/>
        <w:gridCol w:w="2070"/>
      </w:tblGrid>
      <w:tr w:rsidR="007D715A" w14:paraId="71104548" w14:textId="77777777" w:rsidTr="00875E19">
        <w:trPr>
          <w:cantSplit/>
        </w:trPr>
        <w:tc>
          <w:tcPr>
            <w:tcW w:w="3685" w:type="dxa"/>
            <w:tcBorders>
              <w:left w:val="nil"/>
              <w:bottom w:val="single" w:sz="4" w:space="0" w:color="auto"/>
              <w:right w:val="nil"/>
            </w:tcBorders>
          </w:tcPr>
          <w:p w14:paraId="0CE67CAC" w14:textId="77777777" w:rsidR="007D715A" w:rsidRDefault="007D715A" w:rsidP="00875E19">
            <w:pPr>
              <w:keepNext/>
              <w:keepLines/>
              <w:spacing w:after="120"/>
            </w:pPr>
          </w:p>
        </w:tc>
        <w:tc>
          <w:tcPr>
            <w:tcW w:w="1985" w:type="dxa"/>
            <w:tcBorders>
              <w:left w:val="nil"/>
              <w:bottom w:val="single" w:sz="4" w:space="0" w:color="auto"/>
              <w:right w:val="nil"/>
            </w:tcBorders>
          </w:tcPr>
          <w:p w14:paraId="01497974" w14:textId="77777777" w:rsidR="007D715A" w:rsidRDefault="007D715A" w:rsidP="00875E19">
            <w:pPr>
              <w:keepNext/>
              <w:keepLines/>
              <w:spacing w:after="120"/>
              <w:jc w:val="center"/>
            </w:pPr>
            <w:r>
              <w:t xml:space="preserve">Previous study         </w:t>
            </w:r>
            <w:bookmarkStart w:id="0" w:name="_Int_SfQzrAVx"/>
            <w:r>
              <w:t xml:space="preserve">   (</w:t>
            </w:r>
            <w:bookmarkEnd w:id="0"/>
            <w:r>
              <w:t>spring 2020)</w:t>
            </w:r>
          </w:p>
        </w:tc>
        <w:tc>
          <w:tcPr>
            <w:tcW w:w="2070" w:type="dxa"/>
            <w:tcBorders>
              <w:left w:val="nil"/>
              <w:bottom w:val="single" w:sz="4" w:space="0" w:color="auto"/>
              <w:right w:val="nil"/>
            </w:tcBorders>
          </w:tcPr>
          <w:p w14:paraId="7AC4F5A2" w14:textId="77777777" w:rsidR="007D715A" w:rsidRDefault="007D715A" w:rsidP="00875E19">
            <w:pPr>
              <w:keepNext/>
              <w:keepLines/>
              <w:spacing w:after="120"/>
              <w:jc w:val="center"/>
            </w:pPr>
            <w:r>
              <w:t xml:space="preserve">Current study  </w:t>
            </w:r>
            <w:bookmarkStart w:id="1" w:name="_Int_LIVI1tEy"/>
            <w:r>
              <w:t xml:space="preserve">   (</w:t>
            </w:r>
            <w:bookmarkEnd w:id="1"/>
            <w:r>
              <w:t>summer 2021)</w:t>
            </w:r>
          </w:p>
        </w:tc>
      </w:tr>
      <w:tr w:rsidR="007D715A" w14:paraId="494C4C97" w14:textId="77777777" w:rsidTr="00875E19">
        <w:trPr>
          <w:cantSplit/>
        </w:trPr>
        <w:tc>
          <w:tcPr>
            <w:tcW w:w="3685" w:type="dxa"/>
            <w:tcBorders>
              <w:left w:val="nil"/>
              <w:bottom w:val="nil"/>
              <w:right w:val="nil"/>
            </w:tcBorders>
          </w:tcPr>
          <w:p w14:paraId="183EC316" w14:textId="77777777" w:rsidR="007D715A" w:rsidRDefault="007D715A" w:rsidP="00875E19">
            <w:pPr>
              <w:keepNext/>
              <w:keepLines/>
              <w:spacing w:after="120"/>
            </w:pPr>
            <w:r>
              <w:t>Change in social interaction</w:t>
            </w:r>
          </w:p>
        </w:tc>
        <w:tc>
          <w:tcPr>
            <w:tcW w:w="1985" w:type="dxa"/>
            <w:tcBorders>
              <w:left w:val="nil"/>
              <w:bottom w:val="nil"/>
              <w:right w:val="nil"/>
            </w:tcBorders>
          </w:tcPr>
          <w:p w14:paraId="3ACED412" w14:textId="77777777" w:rsidR="007D715A" w:rsidRDefault="007D715A" w:rsidP="00875E19">
            <w:pPr>
              <w:keepNext/>
              <w:keepLines/>
              <w:spacing w:after="120"/>
            </w:pPr>
          </w:p>
        </w:tc>
        <w:tc>
          <w:tcPr>
            <w:tcW w:w="2070" w:type="dxa"/>
            <w:tcBorders>
              <w:left w:val="nil"/>
              <w:bottom w:val="nil"/>
              <w:right w:val="nil"/>
            </w:tcBorders>
          </w:tcPr>
          <w:p w14:paraId="2BAA8F68" w14:textId="77777777" w:rsidR="007D715A" w:rsidRDefault="007D715A" w:rsidP="00875E19">
            <w:pPr>
              <w:keepNext/>
              <w:keepLines/>
              <w:spacing w:after="120"/>
            </w:pPr>
          </w:p>
        </w:tc>
      </w:tr>
      <w:tr w:rsidR="007D715A" w14:paraId="22077506" w14:textId="77777777" w:rsidTr="00875E19">
        <w:trPr>
          <w:cantSplit/>
        </w:trPr>
        <w:tc>
          <w:tcPr>
            <w:tcW w:w="3685" w:type="dxa"/>
            <w:tcBorders>
              <w:top w:val="nil"/>
              <w:left w:val="nil"/>
              <w:bottom w:val="nil"/>
              <w:right w:val="nil"/>
            </w:tcBorders>
          </w:tcPr>
          <w:p w14:paraId="0F232575" w14:textId="77777777" w:rsidR="007D715A" w:rsidRDefault="007D715A" w:rsidP="00875E19">
            <w:pPr>
              <w:keepNext/>
              <w:keepLines/>
              <w:spacing w:after="120"/>
              <w:ind w:left="335"/>
            </w:pPr>
            <w:r>
              <w:t>Overall</w:t>
            </w:r>
          </w:p>
        </w:tc>
        <w:tc>
          <w:tcPr>
            <w:tcW w:w="1985" w:type="dxa"/>
            <w:tcBorders>
              <w:top w:val="nil"/>
              <w:left w:val="nil"/>
              <w:bottom w:val="nil"/>
              <w:right w:val="nil"/>
            </w:tcBorders>
          </w:tcPr>
          <w:p w14:paraId="5260C2DC" w14:textId="77777777" w:rsidR="007D715A" w:rsidRDefault="007D715A" w:rsidP="00875E19">
            <w:pPr>
              <w:keepNext/>
              <w:keepLines/>
              <w:spacing w:after="120"/>
              <w:jc w:val="center"/>
            </w:pPr>
            <w:r>
              <w:t>2.40 (1.72)</w:t>
            </w:r>
          </w:p>
        </w:tc>
        <w:tc>
          <w:tcPr>
            <w:tcW w:w="2070" w:type="dxa"/>
            <w:tcBorders>
              <w:top w:val="nil"/>
              <w:left w:val="nil"/>
              <w:bottom w:val="nil"/>
              <w:right w:val="nil"/>
            </w:tcBorders>
          </w:tcPr>
          <w:p w14:paraId="65204517" w14:textId="77777777" w:rsidR="007D715A" w:rsidRDefault="007D715A" w:rsidP="00875E19">
            <w:pPr>
              <w:keepNext/>
              <w:keepLines/>
              <w:spacing w:after="120"/>
              <w:jc w:val="center"/>
            </w:pPr>
            <w:r>
              <w:t>2.70 (1.43)</w:t>
            </w:r>
          </w:p>
        </w:tc>
      </w:tr>
      <w:tr w:rsidR="007D715A" w14:paraId="09E20A03" w14:textId="77777777" w:rsidTr="00875E19">
        <w:trPr>
          <w:cantSplit/>
        </w:trPr>
        <w:tc>
          <w:tcPr>
            <w:tcW w:w="3685" w:type="dxa"/>
            <w:tcBorders>
              <w:top w:val="nil"/>
              <w:left w:val="nil"/>
              <w:bottom w:val="nil"/>
              <w:right w:val="nil"/>
            </w:tcBorders>
          </w:tcPr>
          <w:p w14:paraId="13212FB7" w14:textId="77777777" w:rsidR="007D715A" w:rsidRDefault="007D715A" w:rsidP="00875E19">
            <w:pPr>
              <w:keepNext/>
              <w:keepLines/>
              <w:spacing w:after="120"/>
              <w:ind w:left="335"/>
            </w:pPr>
            <w:r>
              <w:t>Text</w:t>
            </w:r>
          </w:p>
        </w:tc>
        <w:tc>
          <w:tcPr>
            <w:tcW w:w="1985" w:type="dxa"/>
            <w:tcBorders>
              <w:top w:val="nil"/>
              <w:left w:val="nil"/>
              <w:bottom w:val="nil"/>
              <w:right w:val="nil"/>
            </w:tcBorders>
          </w:tcPr>
          <w:p w14:paraId="7B302C5C" w14:textId="77777777" w:rsidR="007D715A" w:rsidRDefault="007D715A" w:rsidP="00875E19">
            <w:pPr>
              <w:keepNext/>
              <w:keepLines/>
              <w:spacing w:after="120"/>
              <w:jc w:val="center"/>
            </w:pPr>
            <w:r>
              <w:t>4.87 (1.68)</w:t>
            </w:r>
          </w:p>
        </w:tc>
        <w:tc>
          <w:tcPr>
            <w:tcW w:w="2070" w:type="dxa"/>
            <w:tcBorders>
              <w:top w:val="nil"/>
              <w:left w:val="nil"/>
              <w:bottom w:val="nil"/>
              <w:right w:val="nil"/>
            </w:tcBorders>
          </w:tcPr>
          <w:p w14:paraId="0222BE0F" w14:textId="77777777" w:rsidR="007D715A" w:rsidRDefault="007D715A" w:rsidP="00875E19">
            <w:pPr>
              <w:keepNext/>
              <w:keepLines/>
              <w:spacing w:after="120"/>
              <w:jc w:val="center"/>
            </w:pPr>
            <w:r>
              <w:t>4.72 (1.53)</w:t>
            </w:r>
          </w:p>
        </w:tc>
      </w:tr>
      <w:tr w:rsidR="007D715A" w14:paraId="00FECEA4" w14:textId="77777777" w:rsidTr="00875E19">
        <w:trPr>
          <w:cantSplit/>
        </w:trPr>
        <w:tc>
          <w:tcPr>
            <w:tcW w:w="3685" w:type="dxa"/>
            <w:tcBorders>
              <w:top w:val="nil"/>
              <w:left w:val="nil"/>
              <w:bottom w:val="nil"/>
              <w:right w:val="nil"/>
            </w:tcBorders>
          </w:tcPr>
          <w:p w14:paraId="3FA6D049" w14:textId="77777777" w:rsidR="007D715A" w:rsidRDefault="007D715A" w:rsidP="00875E19">
            <w:pPr>
              <w:keepNext/>
              <w:keepLines/>
              <w:spacing w:after="120"/>
              <w:ind w:left="335"/>
            </w:pPr>
            <w:r>
              <w:t>Voice</w:t>
            </w:r>
          </w:p>
        </w:tc>
        <w:tc>
          <w:tcPr>
            <w:tcW w:w="1985" w:type="dxa"/>
            <w:tcBorders>
              <w:top w:val="nil"/>
              <w:left w:val="nil"/>
              <w:bottom w:val="nil"/>
              <w:right w:val="nil"/>
            </w:tcBorders>
          </w:tcPr>
          <w:p w14:paraId="7D915E04" w14:textId="77777777" w:rsidR="007D715A" w:rsidRDefault="007D715A" w:rsidP="00875E19">
            <w:pPr>
              <w:keepNext/>
              <w:keepLines/>
              <w:spacing w:after="120"/>
              <w:jc w:val="center"/>
            </w:pPr>
            <w:r>
              <w:t>4.45 (1.49)</w:t>
            </w:r>
          </w:p>
        </w:tc>
        <w:tc>
          <w:tcPr>
            <w:tcW w:w="2070" w:type="dxa"/>
            <w:tcBorders>
              <w:top w:val="nil"/>
              <w:left w:val="nil"/>
              <w:bottom w:val="nil"/>
              <w:right w:val="nil"/>
            </w:tcBorders>
          </w:tcPr>
          <w:p w14:paraId="4CD0CABF" w14:textId="77777777" w:rsidR="007D715A" w:rsidRDefault="007D715A" w:rsidP="00875E19">
            <w:pPr>
              <w:keepNext/>
              <w:keepLines/>
              <w:spacing w:after="120"/>
              <w:jc w:val="center"/>
            </w:pPr>
            <w:r>
              <w:t>4.57 (1.44)</w:t>
            </w:r>
          </w:p>
        </w:tc>
      </w:tr>
      <w:tr w:rsidR="007D715A" w14:paraId="17041546" w14:textId="77777777" w:rsidTr="00875E19">
        <w:trPr>
          <w:cantSplit/>
        </w:trPr>
        <w:tc>
          <w:tcPr>
            <w:tcW w:w="3685" w:type="dxa"/>
            <w:tcBorders>
              <w:top w:val="nil"/>
              <w:left w:val="nil"/>
              <w:bottom w:val="nil"/>
              <w:right w:val="nil"/>
            </w:tcBorders>
          </w:tcPr>
          <w:p w14:paraId="4A4A2778" w14:textId="77777777" w:rsidR="007D715A" w:rsidRDefault="007D715A" w:rsidP="00875E19">
            <w:pPr>
              <w:keepNext/>
              <w:keepLines/>
              <w:spacing w:after="120"/>
              <w:ind w:left="335"/>
            </w:pPr>
            <w:r>
              <w:t>Video</w:t>
            </w:r>
          </w:p>
        </w:tc>
        <w:tc>
          <w:tcPr>
            <w:tcW w:w="1985" w:type="dxa"/>
            <w:tcBorders>
              <w:top w:val="nil"/>
              <w:left w:val="nil"/>
              <w:bottom w:val="nil"/>
              <w:right w:val="nil"/>
            </w:tcBorders>
          </w:tcPr>
          <w:p w14:paraId="19D901C9" w14:textId="77777777" w:rsidR="007D715A" w:rsidRDefault="007D715A" w:rsidP="00875E19">
            <w:pPr>
              <w:keepNext/>
              <w:keepLines/>
              <w:spacing w:after="120"/>
              <w:jc w:val="center"/>
            </w:pPr>
            <w:r>
              <w:t>5.72 (1.35)</w:t>
            </w:r>
          </w:p>
        </w:tc>
        <w:tc>
          <w:tcPr>
            <w:tcW w:w="2070" w:type="dxa"/>
            <w:tcBorders>
              <w:top w:val="nil"/>
              <w:left w:val="nil"/>
              <w:bottom w:val="nil"/>
              <w:right w:val="nil"/>
            </w:tcBorders>
          </w:tcPr>
          <w:p w14:paraId="35263D22" w14:textId="77777777" w:rsidR="007D715A" w:rsidRDefault="007D715A" w:rsidP="00875E19">
            <w:pPr>
              <w:keepNext/>
              <w:keepLines/>
              <w:spacing w:after="120"/>
              <w:jc w:val="center"/>
            </w:pPr>
            <w:r>
              <w:t>5.18 (1.49)</w:t>
            </w:r>
          </w:p>
        </w:tc>
      </w:tr>
      <w:tr w:rsidR="007D715A" w14:paraId="1C9CC28E" w14:textId="77777777" w:rsidTr="00875E19">
        <w:trPr>
          <w:cantSplit/>
        </w:trPr>
        <w:tc>
          <w:tcPr>
            <w:tcW w:w="3685" w:type="dxa"/>
            <w:tcBorders>
              <w:top w:val="nil"/>
              <w:left w:val="nil"/>
              <w:bottom w:val="nil"/>
              <w:right w:val="nil"/>
            </w:tcBorders>
          </w:tcPr>
          <w:p w14:paraId="12B0E2B1" w14:textId="4912267C" w:rsidR="007D715A" w:rsidRDefault="002D03C3" w:rsidP="00875E19">
            <w:pPr>
              <w:keepNext/>
              <w:keepLines/>
              <w:spacing w:after="120"/>
              <w:ind w:left="335"/>
            </w:pPr>
            <w:r>
              <w:t>In-p</w:t>
            </w:r>
            <w:r w:rsidR="007D715A">
              <w:t>erson</w:t>
            </w:r>
          </w:p>
        </w:tc>
        <w:tc>
          <w:tcPr>
            <w:tcW w:w="1985" w:type="dxa"/>
            <w:tcBorders>
              <w:top w:val="nil"/>
              <w:left w:val="nil"/>
              <w:bottom w:val="nil"/>
              <w:right w:val="nil"/>
            </w:tcBorders>
          </w:tcPr>
          <w:p w14:paraId="26F565FC" w14:textId="77777777" w:rsidR="007D715A" w:rsidRDefault="007D715A" w:rsidP="00875E19">
            <w:pPr>
              <w:keepNext/>
              <w:keepLines/>
              <w:spacing w:after="120"/>
              <w:jc w:val="center"/>
            </w:pPr>
            <w:r>
              <w:t>1.85 (1.63)</w:t>
            </w:r>
          </w:p>
        </w:tc>
        <w:tc>
          <w:tcPr>
            <w:tcW w:w="2070" w:type="dxa"/>
            <w:tcBorders>
              <w:top w:val="nil"/>
              <w:left w:val="nil"/>
              <w:bottom w:val="nil"/>
              <w:right w:val="nil"/>
            </w:tcBorders>
          </w:tcPr>
          <w:p w14:paraId="2F564B8A" w14:textId="77777777" w:rsidR="007D715A" w:rsidRDefault="007D715A" w:rsidP="00875E19">
            <w:pPr>
              <w:keepNext/>
              <w:keepLines/>
              <w:spacing w:after="120"/>
              <w:jc w:val="center"/>
            </w:pPr>
            <w:r>
              <w:t>2.67 (1.29)</w:t>
            </w:r>
          </w:p>
        </w:tc>
      </w:tr>
      <w:tr w:rsidR="007D715A" w14:paraId="3CEF4C4A" w14:textId="77777777" w:rsidTr="00875E19">
        <w:trPr>
          <w:cantSplit/>
        </w:trPr>
        <w:tc>
          <w:tcPr>
            <w:tcW w:w="3685" w:type="dxa"/>
            <w:tcBorders>
              <w:top w:val="nil"/>
              <w:left w:val="nil"/>
              <w:bottom w:val="nil"/>
              <w:right w:val="nil"/>
            </w:tcBorders>
          </w:tcPr>
          <w:p w14:paraId="44E077C2" w14:textId="77777777" w:rsidR="007D715A" w:rsidRDefault="007D715A" w:rsidP="00875E19">
            <w:pPr>
              <w:keepNext/>
              <w:keepLines/>
              <w:spacing w:after="120"/>
              <w:ind w:left="335"/>
            </w:pPr>
            <w:r>
              <w:t>Physical</w:t>
            </w:r>
          </w:p>
        </w:tc>
        <w:tc>
          <w:tcPr>
            <w:tcW w:w="1985" w:type="dxa"/>
            <w:tcBorders>
              <w:top w:val="nil"/>
              <w:left w:val="nil"/>
              <w:bottom w:val="nil"/>
              <w:right w:val="nil"/>
            </w:tcBorders>
          </w:tcPr>
          <w:p w14:paraId="725F33D3" w14:textId="77777777" w:rsidR="007D715A" w:rsidRDefault="007D715A" w:rsidP="00875E19">
            <w:pPr>
              <w:keepNext/>
              <w:keepLines/>
              <w:spacing w:after="120"/>
              <w:jc w:val="center"/>
            </w:pPr>
            <w:r>
              <w:t>2.47 (1.84)</w:t>
            </w:r>
          </w:p>
        </w:tc>
        <w:tc>
          <w:tcPr>
            <w:tcW w:w="2070" w:type="dxa"/>
            <w:tcBorders>
              <w:top w:val="nil"/>
              <w:left w:val="nil"/>
              <w:bottom w:val="nil"/>
              <w:right w:val="nil"/>
            </w:tcBorders>
          </w:tcPr>
          <w:p w14:paraId="49542A80" w14:textId="77777777" w:rsidR="007D715A" w:rsidRDefault="007D715A" w:rsidP="00875E19">
            <w:pPr>
              <w:keepNext/>
              <w:keepLines/>
              <w:spacing w:after="120"/>
              <w:jc w:val="center"/>
            </w:pPr>
            <w:r>
              <w:t>2.76 (1.60)</w:t>
            </w:r>
          </w:p>
        </w:tc>
      </w:tr>
      <w:tr w:rsidR="007D715A" w14:paraId="714EE051" w14:textId="77777777" w:rsidTr="00875E19">
        <w:trPr>
          <w:cantSplit/>
        </w:trPr>
        <w:tc>
          <w:tcPr>
            <w:tcW w:w="3685" w:type="dxa"/>
            <w:tcBorders>
              <w:top w:val="nil"/>
              <w:left w:val="nil"/>
              <w:bottom w:val="nil"/>
              <w:right w:val="nil"/>
            </w:tcBorders>
          </w:tcPr>
          <w:p w14:paraId="434E79EA" w14:textId="77777777" w:rsidR="007D715A" w:rsidRDefault="007D715A" w:rsidP="00875E19">
            <w:pPr>
              <w:keepNext/>
              <w:keepLines/>
              <w:spacing w:after="120"/>
            </w:pPr>
            <w:r>
              <w:t>PSS</w:t>
            </w:r>
          </w:p>
        </w:tc>
        <w:tc>
          <w:tcPr>
            <w:tcW w:w="1985" w:type="dxa"/>
            <w:tcBorders>
              <w:top w:val="nil"/>
              <w:left w:val="nil"/>
              <w:bottom w:val="nil"/>
              <w:right w:val="nil"/>
            </w:tcBorders>
          </w:tcPr>
          <w:p w14:paraId="34A7E757" w14:textId="77777777" w:rsidR="007D715A" w:rsidRDefault="007D715A" w:rsidP="00875E19">
            <w:pPr>
              <w:keepNext/>
              <w:keepLines/>
              <w:spacing w:after="120"/>
              <w:jc w:val="center"/>
            </w:pPr>
            <w:r>
              <w:t>25.07 (2.85)</w:t>
            </w:r>
          </w:p>
        </w:tc>
        <w:tc>
          <w:tcPr>
            <w:tcW w:w="2070" w:type="dxa"/>
            <w:tcBorders>
              <w:top w:val="nil"/>
              <w:left w:val="nil"/>
              <w:bottom w:val="nil"/>
              <w:right w:val="nil"/>
            </w:tcBorders>
          </w:tcPr>
          <w:p w14:paraId="2862CC93" w14:textId="77777777" w:rsidR="007D715A" w:rsidRDefault="007D715A" w:rsidP="00875E19">
            <w:pPr>
              <w:keepNext/>
              <w:keepLines/>
              <w:spacing w:after="120"/>
              <w:jc w:val="center"/>
            </w:pPr>
            <w:r>
              <w:t>21.16 (6.91)</w:t>
            </w:r>
          </w:p>
        </w:tc>
      </w:tr>
      <w:tr w:rsidR="007D715A" w14:paraId="01F323D5" w14:textId="77777777" w:rsidTr="002E1CD8">
        <w:trPr>
          <w:cantSplit/>
        </w:trPr>
        <w:tc>
          <w:tcPr>
            <w:tcW w:w="3685" w:type="dxa"/>
            <w:tcBorders>
              <w:top w:val="nil"/>
              <w:left w:val="nil"/>
              <w:bottom w:val="nil"/>
              <w:right w:val="nil"/>
            </w:tcBorders>
          </w:tcPr>
          <w:p w14:paraId="7A00771D" w14:textId="77777777" w:rsidR="007D715A" w:rsidRDefault="007D715A" w:rsidP="00875E19">
            <w:pPr>
              <w:keepNext/>
              <w:keepLines/>
              <w:spacing w:after="120"/>
            </w:pPr>
            <w:r>
              <w:t>BDI-II</w:t>
            </w:r>
          </w:p>
        </w:tc>
        <w:tc>
          <w:tcPr>
            <w:tcW w:w="1985" w:type="dxa"/>
            <w:tcBorders>
              <w:top w:val="nil"/>
              <w:left w:val="nil"/>
              <w:bottom w:val="nil"/>
              <w:right w:val="nil"/>
            </w:tcBorders>
          </w:tcPr>
          <w:p w14:paraId="7EE67EC1" w14:textId="77777777" w:rsidR="007D715A" w:rsidRDefault="007D715A" w:rsidP="00875E19">
            <w:pPr>
              <w:keepNext/>
              <w:keepLines/>
              <w:spacing w:after="120"/>
              <w:jc w:val="center"/>
            </w:pPr>
            <w:r>
              <w:t>13.83 (7.41)</w:t>
            </w:r>
          </w:p>
        </w:tc>
        <w:tc>
          <w:tcPr>
            <w:tcW w:w="2070" w:type="dxa"/>
            <w:tcBorders>
              <w:top w:val="nil"/>
              <w:left w:val="nil"/>
              <w:bottom w:val="nil"/>
              <w:right w:val="nil"/>
            </w:tcBorders>
          </w:tcPr>
          <w:p w14:paraId="6B99AF9E" w14:textId="77777777" w:rsidR="007D715A" w:rsidRDefault="007D715A" w:rsidP="00875E19">
            <w:pPr>
              <w:keepNext/>
              <w:keepLines/>
              <w:spacing w:after="120"/>
              <w:jc w:val="center"/>
            </w:pPr>
            <w:r>
              <w:t>14.67 (8.59)</w:t>
            </w:r>
          </w:p>
        </w:tc>
      </w:tr>
      <w:tr w:rsidR="007D715A" w14:paraId="7CA5BD3A" w14:textId="77777777" w:rsidTr="00E044DE">
        <w:trPr>
          <w:cantSplit/>
        </w:trPr>
        <w:tc>
          <w:tcPr>
            <w:tcW w:w="3685" w:type="dxa"/>
            <w:tcBorders>
              <w:top w:val="nil"/>
              <w:left w:val="nil"/>
              <w:bottom w:val="nil"/>
              <w:right w:val="nil"/>
            </w:tcBorders>
          </w:tcPr>
          <w:p w14:paraId="67B2575A" w14:textId="77777777" w:rsidR="007D715A" w:rsidRDefault="007D715A" w:rsidP="00875E19">
            <w:pPr>
              <w:keepNext/>
              <w:keepLines/>
              <w:spacing w:after="120"/>
            </w:pPr>
            <w:r>
              <w:t>STAI-Trait</w:t>
            </w:r>
          </w:p>
        </w:tc>
        <w:tc>
          <w:tcPr>
            <w:tcW w:w="1985" w:type="dxa"/>
            <w:tcBorders>
              <w:top w:val="nil"/>
              <w:left w:val="nil"/>
              <w:bottom w:val="nil"/>
              <w:right w:val="nil"/>
            </w:tcBorders>
          </w:tcPr>
          <w:p w14:paraId="3FCE01A6" w14:textId="77777777" w:rsidR="007D715A" w:rsidRDefault="007D715A" w:rsidP="00875E19">
            <w:pPr>
              <w:keepNext/>
              <w:keepLines/>
              <w:spacing w:after="120"/>
              <w:jc w:val="center"/>
            </w:pPr>
            <w:r>
              <w:t>52.86 (10.32)</w:t>
            </w:r>
          </w:p>
        </w:tc>
        <w:tc>
          <w:tcPr>
            <w:tcW w:w="2070" w:type="dxa"/>
            <w:tcBorders>
              <w:top w:val="nil"/>
              <w:left w:val="nil"/>
              <w:bottom w:val="nil"/>
              <w:right w:val="nil"/>
            </w:tcBorders>
          </w:tcPr>
          <w:p w14:paraId="5D2201A3" w14:textId="77777777" w:rsidR="007D715A" w:rsidRDefault="007D715A" w:rsidP="00875E19">
            <w:pPr>
              <w:keepNext/>
              <w:keepLines/>
              <w:spacing w:after="120"/>
              <w:jc w:val="center"/>
            </w:pPr>
            <w:r>
              <w:t>50.30 (11.80)</w:t>
            </w:r>
          </w:p>
        </w:tc>
      </w:tr>
      <w:tr w:rsidR="00E044DE" w14:paraId="1F759A64" w14:textId="77777777" w:rsidTr="002E1CD8">
        <w:trPr>
          <w:cantSplit/>
        </w:trPr>
        <w:tc>
          <w:tcPr>
            <w:tcW w:w="3685" w:type="dxa"/>
            <w:tcBorders>
              <w:top w:val="nil"/>
              <w:left w:val="nil"/>
              <w:bottom w:val="single" w:sz="4" w:space="0" w:color="auto"/>
              <w:right w:val="nil"/>
            </w:tcBorders>
          </w:tcPr>
          <w:p w14:paraId="43FD6923" w14:textId="39E3FA90" w:rsidR="00E044DE" w:rsidRDefault="00E044DE" w:rsidP="00875E19">
            <w:pPr>
              <w:keepNext/>
              <w:keepLines/>
              <w:spacing w:after="120"/>
            </w:pPr>
            <w:r>
              <w:t>SHAI</w:t>
            </w:r>
          </w:p>
        </w:tc>
        <w:tc>
          <w:tcPr>
            <w:tcW w:w="1985" w:type="dxa"/>
            <w:tcBorders>
              <w:top w:val="nil"/>
              <w:left w:val="nil"/>
              <w:bottom w:val="single" w:sz="4" w:space="0" w:color="auto"/>
              <w:right w:val="nil"/>
            </w:tcBorders>
          </w:tcPr>
          <w:p w14:paraId="6BB731F0" w14:textId="5DE20E8B" w:rsidR="00E044DE" w:rsidRDefault="00E044DE" w:rsidP="00875E19">
            <w:pPr>
              <w:keepNext/>
              <w:keepLines/>
              <w:spacing w:after="120"/>
              <w:jc w:val="center"/>
            </w:pPr>
            <w:r>
              <w:t>NA</w:t>
            </w:r>
          </w:p>
        </w:tc>
        <w:tc>
          <w:tcPr>
            <w:tcW w:w="2070" w:type="dxa"/>
            <w:tcBorders>
              <w:top w:val="nil"/>
              <w:left w:val="nil"/>
              <w:bottom w:val="single" w:sz="4" w:space="0" w:color="auto"/>
              <w:right w:val="nil"/>
            </w:tcBorders>
          </w:tcPr>
          <w:p w14:paraId="6E03B64D" w14:textId="7DEA7A6E" w:rsidR="00E044DE" w:rsidRDefault="00E044DE" w:rsidP="00875E19">
            <w:pPr>
              <w:keepNext/>
              <w:keepLines/>
              <w:spacing w:after="120"/>
              <w:jc w:val="center"/>
            </w:pPr>
            <w:r>
              <w:t>13.51 (7.44)</w:t>
            </w:r>
          </w:p>
        </w:tc>
      </w:tr>
    </w:tbl>
    <w:p w14:paraId="78ECA5EC" w14:textId="77777777" w:rsidR="002E1CD8" w:rsidRDefault="002E1CD8" w:rsidP="007B44C3">
      <w:pPr>
        <w:keepNext/>
        <w:keepLines/>
        <w:spacing w:line="480" w:lineRule="auto"/>
        <w:rPr>
          <w:i/>
        </w:rPr>
      </w:pPr>
    </w:p>
    <w:p w14:paraId="6FBBAC11" w14:textId="77777777" w:rsidR="009925F7" w:rsidRDefault="009925F7">
      <w:pPr>
        <w:spacing w:after="160" w:line="259" w:lineRule="auto"/>
        <w:jc w:val="left"/>
        <w:rPr>
          <w:b/>
        </w:rPr>
      </w:pPr>
      <w:r>
        <w:rPr>
          <w:b/>
        </w:rPr>
        <w:br w:type="page"/>
      </w:r>
    </w:p>
    <w:p w14:paraId="044C083D" w14:textId="5682B737" w:rsidR="007B44C3" w:rsidRPr="00757A14" w:rsidRDefault="007B44C3" w:rsidP="007B44C3">
      <w:pPr>
        <w:keepNext/>
        <w:keepLines/>
        <w:spacing w:line="480" w:lineRule="auto"/>
        <w:rPr>
          <w:b/>
        </w:rPr>
      </w:pPr>
      <w:r w:rsidRPr="00757A14">
        <w:rPr>
          <w:b/>
        </w:rPr>
        <w:lastRenderedPageBreak/>
        <w:t>Fig</w:t>
      </w:r>
      <w:r>
        <w:rPr>
          <w:b/>
        </w:rPr>
        <w:t>ure</w:t>
      </w:r>
      <w:r w:rsidRPr="00757A14">
        <w:rPr>
          <w:b/>
        </w:rPr>
        <w:t xml:space="preserve"> </w:t>
      </w:r>
      <w:r w:rsidR="0027673E">
        <w:rPr>
          <w:b/>
        </w:rPr>
        <w:t>S1</w:t>
      </w:r>
    </w:p>
    <w:p w14:paraId="73E4B272" w14:textId="77777777" w:rsidR="007B44C3" w:rsidRPr="003833EB" w:rsidRDefault="007B44C3" w:rsidP="007B44C3">
      <w:pPr>
        <w:keepNext/>
        <w:keepLines/>
        <w:spacing w:line="480" w:lineRule="auto"/>
        <w:rPr>
          <w:i/>
        </w:rPr>
      </w:pPr>
      <w:r>
        <w:rPr>
          <w:i/>
        </w:rPr>
        <w:t>Histograms of Ratings of Changes in Social Interaction Due to the Pandemic</w:t>
      </w:r>
    </w:p>
    <w:p w14:paraId="279EB8A6" w14:textId="77777777" w:rsidR="007B44C3" w:rsidRDefault="007B44C3" w:rsidP="007B44C3">
      <w:pPr>
        <w:keepNext/>
        <w:keepLines/>
        <w:spacing w:line="480" w:lineRule="auto"/>
      </w:pPr>
      <w:r>
        <w:rPr>
          <w:noProof/>
        </w:rPr>
        <w:drawing>
          <wp:inline distT="0" distB="0" distL="0" distR="0" wp14:anchorId="2243EDD7" wp14:editId="23081A9D">
            <wp:extent cx="5652135" cy="372121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540" t="11231" r="2403" b="5330"/>
                    <a:stretch/>
                  </pic:blipFill>
                  <pic:spPr bwMode="auto">
                    <a:xfrm>
                      <a:off x="0" y="0"/>
                      <a:ext cx="5653431" cy="3722064"/>
                    </a:xfrm>
                    <a:prstGeom prst="rect">
                      <a:avLst/>
                    </a:prstGeom>
                    <a:noFill/>
                    <a:ln>
                      <a:noFill/>
                    </a:ln>
                    <a:extLst>
                      <a:ext uri="{53640926-AAD7-44D8-BBD7-CCE9431645EC}">
                        <a14:shadowObscured xmlns:a14="http://schemas.microsoft.com/office/drawing/2010/main"/>
                      </a:ext>
                    </a:extLst>
                  </pic:spPr>
                </pic:pic>
              </a:graphicData>
            </a:graphic>
          </wp:inline>
        </w:drawing>
      </w:r>
    </w:p>
    <w:p w14:paraId="0F1E8E40" w14:textId="77777777" w:rsidR="007B44C3" w:rsidRDefault="007B44C3" w:rsidP="007B44C3">
      <w:pPr>
        <w:spacing w:line="480" w:lineRule="auto"/>
        <w:rPr>
          <w:rFonts w:eastAsia="Times New Roman" w:cs="Calibri"/>
          <w:color w:val="000000"/>
        </w:rPr>
      </w:pPr>
      <w:r>
        <w:rPr>
          <w:i/>
        </w:rPr>
        <w:t>Note</w:t>
      </w:r>
      <w:r w:rsidRPr="00BB7C43">
        <w:rPr>
          <w:i/>
        </w:rPr>
        <w:t>.</w:t>
      </w:r>
      <w:r>
        <w:t xml:space="preserve"> The means of the previous and current study distributions differed for changes in video-based and in-person social interactions. The darker blue color indicates areas of overlap between the two histograms.</w:t>
      </w:r>
    </w:p>
    <w:p w14:paraId="76DE6091" w14:textId="491A1031" w:rsidR="007D715A" w:rsidRDefault="007D715A" w:rsidP="006A7322">
      <w:pPr>
        <w:pStyle w:val="NormalWeb"/>
        <w:spacing w:before="0" w:beforeAutospacing="0" w:after="0" w:afterAutospacing="0" w:line="480" w:lineRule="auto"/>
        <w:jc w:val="both"/>
        <w:rPr>
          <w:rFonts w:asciiTheme="minorHAnsi" w:hAnsiTheme="minorHAnsi" w:cstheme="minorHAnsi"/>
          <w:color w:val="000000"/>
        </w:rPr>
      </w:pPr>
    </w:p>
    <w:p w14:paraId="0435C02F" w14:textId="6AB297C4" w:rsidR="007B44C3" w:rsidRDefault="007137FD" w:rsidP="00DA2821">
      <w:pPr>
        <w:spacing w:line="480" w:lineRule="auto"/>
        <w:ind w:firstLine="720"/>
      </w:pPr>
      <w:r>
        <w:t>Perceived stress was significantly lower in the current study relative to the previous study (</w:t>
      </w:r>
      <w:r w:rsidRPr="59C4B34F">
        <w:rPr>
          <w:rFonts w:eastAsia="Times New Roman" w:cs="Calibri"/>
          <w:i/>
          <w:iCs/>
          <w:color w:val="000000" w:themeColor="text1"/>
        </w:rPr>
        <w:t>t</w:t>
      </w:r>
      <w:r w:rsidRPr="59C4B34F">
        <w:rPr>
          <w:rFonts w:eastAsia="Times New Roman" w:cs="Calibri"/>
          <w:color w:val="000000" w:themeColor="text1"/>
        </w:rPr>
        <w:t xml:space="preserve">(178.91) = 5.58, </w:t>
      </w:r>
      <w:r w:rsidRPr="59C4B34F">
        <w:rPr>
          <w:rFonts w:eastAsia="Times New Roman" w:cs="Calibri"/>
          <w:i/>
          <w:iCs/>
          <w:color w:val="000000" w:themeColor="text1"/>
        </w:rPr>
        <w:t>p</w:t>
      </w:r>
      <w:r w:rsidRPr="59C4B34F">
        <w:rPr>
          <w:rFonts w:eastAsia="Times New Roman" w:cs="Calibri"/>
          <w:color w:val="000000" w:themeColor="text1"/>
        </w:rPr>
        <w:t xml:space="preserve"> &lt; .001, </w:t>
      </w:r>
      <w:r w:rsidRPr="59C4B34F">
        <w:rPr>
          <w:rFonts w:eastAsia="Times New Roman" w:cs="Calibri"/>
          <w:i/>
          <w:iCs/>
          <w:color w:val="000000" w:themeColor="text1"/>
        </w:rPr>
        <w:t>d</w:t>
      </w:r>
      <w:r w:rsidRPr="59C4B34F">
        <w:rPr>
          <w:rFonts w:eastAsia="Times New Roman" w:cs="Calibri"/>
          <w:color w:val="000000" w:themeColor="text1"/>
        </w:rPr>
        <w:t xml:space="preserve"> = 0.74</w:t>
      </w:r>
      <w:r>
        <w:rPr>
          <w:rFonts w:eastAsia="Times New Roman" w:cs="Calibri"/>
          <w:color w:val="000000" w:themeColor="text1"/>
        </w:rPr>
        <w:t>; Table S2 and Figure S2</w:t>
      </w:r>
      <w:r>
        <w:t>), indicating partial support for the first component of Hypothesis S2. However, the remaining comparisons between studies (BDI-II, STAI) indicated no significant differences (SHAI was not collected in the previous study, precluding comparison). T</w:t>
      </w:r>
      <w:r w:rsidR="00DA2821">
        <w:t>he latter component of Hypothesis S2</w:t>
      </w:r>
      <w:r>
        <w:t xml:space="preserve"> was not supported</w:t>
      </w:r>
      <w:r w:rsidR="00DA2821">
        <w:t xml:space="preserve">, </w:t>
      </w:r>
      <w:r>
        <w:t xml:space="preserve">as the data from the current study indicated </w:t>
      </w:r>
      <w:r w:rsidR="00DA2821">
        <w:t>elevated stress (</w:t>
      </w:r>
      <w:r w:rsidR="00DA2821" w:rsidRPr="59C4B34F">
        <w:rPr>
          <w:rFonts w:eastAsia="Times New Roman" w:cs="Calibri"/>
          <w:color w:val="000000" w:themeColor="text1"/>
        </w:rPr>
        <w:t xml:space="preserve">µ = 14.2, </w:t>
      </w:r>
      <w:r w:rsidR="00DA2821" w:rsidRPr="59C4B34F">
        <w:rPr>
          <w:rFonts w:eastAsia="Times New Roman" w:cs="Calibri"/>
          <w:i/>
          <w:iCs/>
          <w:color w:val="000000" w:themeColor="text1"/>
        </w:rPr>
        <w:t>t</w:t>
      </w:r>
      <w:r w:rsidR="00DA2821" w:rsidRPr="59C4B34F">
        <w:rPr>
          <w:rFonts w:eastAsia="Times New Roman" w:cs="Calibri"/>
          <w:color w:val="000000" w:themeColor="text1"/>
        </w:rPr>
        <w:t xml:space="preserve">(151) = 12.42, </w:t>
      </w:r>
      <w:r w:rsidR="00DA2821" w:rsidRPr="59C4B34F">
        <w:rPr>
          <w:rFonts w:eastAsia="Times New Roman" w:cs="Calibri"/>
          <w:i/>
          <w:iCs/>
          <w:color w:val="000000" w:themeColor="text1"/>
        </w:rPr>
        <w:t>p</w:t>
      </w:r>
      <w:r w:rsidR="00DA2821" w:rsidRPr="59C4B34F">
        <w:rPr>
          <w:rFonts w:eastAsia="Times New Roman" w:cs="Calibri"/>
          <w:color w:val="000000" w:themeColor="text1"/>
        </w:rPr>
        <w:t xml:space="preserve"> &lt; .001, </w:t>
      </w:r>
      <w:r w:rsidR="00DA2821" w:rsidRPr="59C4B34F">
        <w:rPr>
          <w:rFonts w:eastAsia="Times New Roman" w:cs="Calibri"/>
          <w:i/>
          <w:iCs/>
          <w:color w:val="000000" w:themeColor="text1"/>
        </w:rPr>
        <w:t>d</w:t>
      </w:r>
      <w:r w:rsidR="00DA2821" w:rsidRPr="59C4B34F">
        <w:rPr>
          <w:rFonts w:eastAsia="Times New Roman" w:cs="Calibri"/>
          <w:color w:val="000000" w:themeColor="text1"/>
        </w:rPr>
        <w:t xml:space="preserve"> = 1.01</w:t>
      </w:r>
      <w:r w:rsidR="00DA2821">
        <w:t xml:space="preserve">), depressive </w:t>
      </w:r>
      <w:r w:rsidR="00DA2821">
        <w:lastRenderedPageBreak/>
        <w:t>symptoms (</w:t>
      </w:r>
      <w:r w:rsidR="00DA2821" w:rsidRPr="59C4B34F">
        <w:rPr>
          <w:rFonts w:eastAsia="Times New Roman" w:cs="Calibri"/>
          <w:color w:val="000000" w:themeColor="text1"/>
        </w:rPr>
        <w:t xml:space="preserve">µ = 9.14, </w:t>
      </w:r>
      <w:r w:rsidR="00DA2821" w:rsidRPr="59C4B34F">
        <w:rPr>
          <w:rFonts w:eastAsia="Times New Roman" w:cs="Calibri"/>
          <w:i/>
          <w:iCs/>
          <w:color w:val="000000" w:themeColor="text1"/>
        </w:rPr>
        <w:t>t</w:t>
      </w:r>
      <w:r w:rsidR="00DA2821" w:rsidRPr="59C4B34F">
        <w:rPr>
          <w:rFonts w:eastAsia="Times New Roman" w:cs="Calibri"/>
          <w:color w:val="000000" w:themeColor="text1"/>
        </w:rPr>
        <w:t xml:space="preserve">(150) = 7.91, </w:t>
      </w:r>
      <w:r w:rsidR="00DA2821" w:rsidRPr="59C4B34F">
        <w:rPr>
          <w:rFonts w:eastAsia="Times New Roman" w:cs="Calibri"/>
          <w:i/>
          <w:iCs/>
          <w:color w:val="000000" w:themeColor="text1"/>
        </w:rPr>
        <w:t>p</w:t>
      </w:r>
      <w:r w:rsidR="00DA2821" w:rsidRPr="59C4B34F">
        <w:rPr>
          <w:rFonts w:eastAsia="Times New Roman" w:cs="Calibri"/>
          <w:color w:val="000000" w:themeColor="text1"/>
        </w:rPr>
        <w:t xml:space="preserve"> &lt; .001, </w:t>
      </w:r>
      <w:r w:rsidR="00DA2821" w:rsidRPr="59C4B34F">
        <w:rPr>
          <w:rFonts w:eastAsia="Times New Roman" w:cs="Calibri"/>
          <w:i/>
          <w:iCs/>
          <w:color w:val="000000" w:themeColor="text1"/>
        </w:rPr>
        <w:t>d</w:t>
      </w:r>
      <w:r w:rsidR="00DA2821" w:rsidRPr="59C4B34F">
        <w:rPr>
          <w:rFonts w:eastAsia="Times New Roman" w:cs="Calibri"/>
          <w:color w:val="000000" w:themeColor="text1"/>
        </w:rPr>
        <w:t xml:space="preserve"> = 0.64</w:t>
      </w:r>
      <w:r w:rsidR="00DA2821">
        <w:t>), general anxiety symptoms (</w:t>
      </w:r>
      <w:r w:rsidR="00DA2821" w:rsidRPr="59C4B34F">
        <w:rPr>
          <w:rFonts w:eastAsia="Times New Roman" w:cs="Calibri"/>
          <w:color w:val="000000" w:themeColor="text1"/>
        </w:rPr>
        <w:t xml:space="preserve">µ = 39.60, </w:t>
      </w:r>
      <w:r w:rsidR="00DA2821" w:rsidRPr="59C4B34F">
        <w:rPr>
          <w:rFonts w:eastAsia="Times New Roman" w:cs="Calibri"/>
          <w:i/>
          <w:iCs/>
          <w:color w:val="000000" w:themeColor="text1"/>
        </w:rPr>
        <w:t>t</w:t>
      </w:r>
      <w:r w:rsidR="00DA2821" w:rsidRPr="59C4B34F">
        <w:rPr>
          <w:rFonts w:eastAsia="Times New Roman" w:cs="Calibri"/>
          <w:color w:val="000000" w:themeColor="text1"/>
        </w:rPr>
        <w:t xml:space="preserve">(151) = 11.18, </w:t>
      </w:r>
      <w:r w:rsidR="00DA2821" w:rsidRPr="59C4B34F">
        <w:rPr>
          <w:rFonts w:eastAsia="Times New Roman" w:cs="Calibri"/>
          <w:i/>
          <w:iCs/>
          <w:color w:val="000000" w:themeColor="text1"/>
        </w:rPr>
        <w:t>p</w:t>
      </w:r>
      <w:r w:rsidR="00DA2821" w:rsidRPr="59C4B34F">
        <w:rPr>
          <w:rFonts w:eastAsia="Times New Roman" w:cs="Calibri"/>
          <w:color w:val="000000" w:themeColor="text1"/>
        </w:rPr>
        <w:t xml:space="preserve"> &lt; .001, </w:t>
      </w:r>
      <w:r w:rsidR="00DA2821" w:rsidRPr="59C4B34F">
        <w:rPr>
          <w:rFonts w:eastAsia="Times New Roman" w:cs="Calibri"/>
          <w:i/>
          <w:iCs/>
          <w:color w:val="000000" w:themeColor="text1"/>
        </w:rPr>
        <w:t>d</w:t>
      </w:r>
      <w:r w:rsidR="00DA2821" w:rsidRPr="59C4B34F">
        <w:rPr>
          <w:rFonts w:eastAsia="Times New Roman" w:cs="Calibri"/>
          <w:color w:val="000000" w:themeColor="text1"/>
        </w:rPr>
        <w:t xml:space="preserve"> = 0.91</w:t>
      </w:r>
      <w:r w:rsidR="00DA2821">
        <w:t>), and health anxiety symptoms (</w:t>
      </w:r>
      <w:r w:rsidR="00DA2821" w:rsidRPr="59C4B34F">
        <w:rPr>
          <w:rFonts w:eastAsia="Times New Roman" w:cs="Calibri"/>
          <w:color w:val="000000" w:themeColor="text1"/>
        </w:rPr>
        <w:t xml:space="preserve">µ = 9.5, </w:t>
      </w:r>
      <w:r w:rsidR="00DA2821" w:rsidRPr="59C4B34F">
        <w:rPr>
          <w:rFonts w:eastAsia="Times New Roman" w:cs="Calibri"/>
          <w:i/>
          <w:iCs/>
          <w:color w:val="000000" w:themeColor="text1"/>
        </w:rPr>
        <w:t>t</w:t>
      </w:r>
      <w:r w:rsidR="00DA2821" w:rsidRPr="59C4B34F">
        <w:rPr>
          <w:rFonts w:eastAsia="Times New Roman" w:cs="Calibri"/>
          <w:color w:val="000000" w:themeColor="text1"/>
        </w:rPr>
        <w:t xml:space="preserve">(151) = 6.65, </w:t>
      </w:r>
      <w:r w:rsidR="00DA2821" w:rsidRPr="59C4B34F">
        <w:rPr>
          <w:rFonts w:eastAsia="Times New Roman" w:cs="Calibri"/>
          <w:i/>
          <w:iCs/>
          <w:color w:val="000000" w:themeColor="text1"/>
        </w:rPr>
        <w:t>p</w:t>
      </w:r>
      <w:r w:rsidR="00DA2821" w:rsidRPr="59C4B34F">
        <w:rPr>
          <w:rFonts w:eastAsia="Times New Roman" w:cs="Calibri"/>
          <w:color w:val="000000" w:themeColor="text1"/>
        </w:rPr>
        <w:t xml:space="preserve"> &lt; .001, </w:t>
      </w:r>
      <w:r w:rsidR="00DA2821" w:rsidRPr="59C4B34F">
        <w:rPr>
          <w:rFonts w:eastAsia="Times New Roman" w:cs="Calibri"/>
          <w:i/>
          <w:iCs/>
          <w:color w:val="000000" w:themeColor="text1"/>
        </w:rPr>
        <w:t>d</w:t>
      </w:r>
      <w:r w:rsidR="00DA2821" w:rsidRPr="59C4B34F">
        <w:rPr>
          <w:rFonts w:eastAsia="Times New Roman" w:cs="Calibri"/>
          <w:color w:val="000000" w:themeColor="text1"/>
        </w:rPr>
        <w:t xml:space="preserve"> = 0.54</w:t>
      </w:r>
      <w:r w:rsidR="00DA2821">
        <w:t>)</w:t>
      </w:r>
      <w:r>
        <w:t xml:space="preserve"> relative to the population normative data</w:t>
      </w:r>
      <w:r w:rsidR="00DA2821">
        <w:t>.</w:t>
      </w:r>
      <w:r>
        <w:t xml:space="preserve"> These results mirror those from the previous study, in which </w:t>
      </w:r>
      <w:r w:rsidR="003A3826" w:rsidRPr="003A3826">
        <w:t xml:space="preserve">stress (µ = 14.2, t(45) = 25.88, p &lt; .001, d = 3.82), depressive symptoms (µ = 9.14, t(46) = 4.34, p &lt; .001, d = 0.63), and </w:t>
      </w:r>
      <w:r w:rsidR="003A3826">
        <w:t xml:space="preserve">general </w:t>
      </w:r>
      <w:r w:rsidR="003A3826" w:rsidRPr="003A3826">
        <w:t>anxiety symptoms (µ = 39.60, t(43) = 8.53, p &lt; .001, d = 1.29)</w:t>
      </w:r>
      <w:r w:rsidR="003A3826">
        <w:t xml:space="preserve"> </w:t>
      </w:r>
      <w:r>
        <w:t>were elevated relative to the norm</w:t>
      </w:r>
      <w:r w:rsidR="001C7FE4">
        <w:t>ative data</w:t>
      </w:r>
      <w:r>
        <w:t>.</w:t>
      </w:r>
    </w:p>
    <w:p w14:paraId="07EC02D8" w14:textId="7B237613" w:rsidR="007B44C3" w:rsidRDefault="007B44C3" w:rsidP="006A7322">
      <w:pPr>
        <w:pStyle w:val="NormalWeb"/>
        <w:spacing w:before="0" w:beforeAutospacing="0" w:after="0" w:afterAutospacing="0" w:line="480" w:lineRule="auto"/>
        <w:jc w:val="both"/>
        <w:rPr>
          <w:rFonts w:asciiTheme="minorHAnsi" w:hAnsiTheme="minorHAnsi" w:cstheme="minorHAnsi"/>
          <w:color w:val="000000"/>
        </w:rPr>
      </w:pPr>
    </w:p>
    <w:p w14:paraId="695427D7" w14:textId="4833716C" w:rsidR="00B006FA" w:rsidRDefault="00B006FA" w:rsidP="006A7322">
      <w:pPr>
        <w:pStyle w:val="NormalWeb"/>
        <w:spacing w:before="0" w:beforeAutospacing="0" w:after="0" w:afterAutospacing="0" w:line="480" w:lineRule="auto"/>
        <w:jc w:val="both"/>
        <w:rPr>
          <w:rFonts w:asciiTheme="minorHAnsi" w:hAnsiTheme="minorHAnsi" w:cstheme="minorHAnsi"/>
          <w:color w:val="000000"/>
        </w:rPr>
      </w:pPr>
    </w:p>
    <w:p w14:paraId="11776528" w14:textId="0A711D06" w:rsidR="0027673E" w:rsidRPr="00757A14" w:rsidRDefault="0027673E" w:rsidP="0027673E">
      <w:pPr>
        <w:keepNext/>
        <w:keepLines/>
        <w:spacing w:line="480" w:lineRule="auto"/>
        <w:rPr>
          <w:b/>
        </w:rPr>
      </w:pPr>
      <w:r w:rsidRPr="00757A14">
        <w:rPr>
          <w:b/>
        </w:rPr>
        <w:lastRenderedPageBreak/>
        <w:t>Fig</w:t>
      </w:r>
      <w:r>
        <w:rPr>
          <w:b/>
        </w:rPr>
        <w:t>ure</w:t>
      </w:r>
      <w:r w:rsidRPr="00757A14">
        <w:rPr>
          <w:b/>
        </w:rPr>
        <w:t xml:space="preserve"> </w:t>
      </w:r>
      <w:r>
        <w:rPr>
          <w:b/>
        </w:rPr>
        <w:t>S2</w:t>
      </w:r>
    </w:p>
    <w:p w14:paraId="2C706BB3" w14:textId="77777777" w:rsidR="0027673E" w:rsidRPr="00AD0254" w:rsidRDefault="0027673E" w:rsidP="0027673E">
      <w:pPr>
        <w:keepNext/>
        <w:keepLines/>
        <w:spacing w:line="480" w:lineRule="auto"/>
        <w:rPr>
          <w:i/>
        </w:rPr>
      </w:pPr>
      <w:r>
        <w:rPr>
          <w:i/>
        </w:rPr>
        <w:t>Histograms of Scores on Psychometric Measures</w:t>
      </w:r>
    </w:p>
    <w:p w14:paraId="6FE08665" w14:textId="73EDBF57" w:rsidR="0027673E" w:rsidRDefault="003A0D08" w:rsidP="0027673E">
      <w:pPr>
        <w:keepNext/>
        <w:keepLines/>
        <w:spacing w:line="480" w:lineRule="auto"/>
        <w:rPr>
          <w:noProof/>
        </w:rPr>
      </w:pPr>
      <w:r>
        <w:rPr>
          <w:noProof/>
        </w:rPr>
        <w:drawing>
          <wp:inline distT="0" distB="0" distL="0" distR="0" wp14:anchorId="666F8ED9" wp14:editId="7236DB4D">
            <wp:extent cx="5851801" cy="3545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1" t="1004" r="1188" b="49275"/>
                    <a:stretch/>
                  </pic:blipFill>
                  <pic:spPr bwMode="auto">
                    <a:xfrm>
                      <a:off x="0" y="0"/>
                      <a:ext cx="5852880" cy="3546277"/>
                    </a:xfrm>
                    <a:prstGeom prst="rect">
                      <a:avLst/>
                    </a:prstGeom>
                    <a:noFill/>
                    <a:ln>
                      <a:noFill/>
                    </a:ln>
                    <a:extLst>
                      <a:ext uri="{53640926-AAD7-44D8-BBD7-CCE9431645EC}">
                        <a14:shadowObscured xmlns:a14="http://schemas.microsoft.com/office/drawing/2010/main"/>
                      </a:ext>
                    </a:extLst>
                  </pic:spPr>
                </pic:pic>
              </a:graphicData>
            </a:graphic>
          </wp:inline>
        </w:drawing>
      </w:r>
    </w:p>
    <w:p w14:paraId="0DE157FE" w14:textId="551664D3" w:rsidR="009925F7" w:rsidRDefault="0027673E" w:rsidP="002E1CD8">
      <w:pPr>
        <w:spacing w:line="480" w:lineRule="auto"/>
      </w:pPr>
      <w:r>
        <w:rPr>
          <w:i/>
        </w:rPr>
        <w:t>Note</w:t>
      </w:r>
      <w:r w:rsidRPr="00BB7C43">
        <w:rPr>
          <w:i/>
        </w:rPr>
        <w:t>.</w:t>
      </w:r>
      <w:r>
        <w:t xml:space="preserve"> See Table </w:t>
      </w:r>
      <w:r w:rsidR="00906FD8">
        <w:t>S2</w:t>
      </w:r>
      <w:r>
        <w:t xml:space="preserve"> for means </w:t>
      </w:r>
      <w:r w:rsidR="00906FD8">
        <w:t xml:space="preserve">and standard deviations </w:t>
      </w:r>
      <w:r>
        <w:t>for each study. PSS = Perceived Stress Scale; BDI-II = Beck Depression Inventory-II; STAI = State-Trait Anxiety Inventory;</w:t>
      </w:r>
      <w:r w:rsidRPr="005D51BB">
        <w:t xml:space="preserve"> </w:t>
      </w:r>
      <w:r>
        <w:t>SHAI = Short Health Anxiety Inventory.</w:t>
      </w:r>
    </w:p>
    <w:p w14:paraId="34F0982D" w14:textId="77777777" w:rsidR="009925F7" w:rsidRDefault="009925F7" w:rsidP="002E1CD8">
      <w:pPr>
        <w:spacing w:line="480" w:lineRule="auto"/>
      </w:pPr>
    </w:p>
    <w:p w14:paraId="0D0AD223" w14:textId="5C1227CF" w:rsidR="009925F7" w:rsidRDefault="00586A43" w:rsidP="00586A43">
      <w:pPr>
        <w:pStyle w:val="NormalWeb"/>
        <w:spacing w:before="0" w:beforeAutospacing="0" w:after="0" w:afterAutospacing="0" w:line="480" w:lineRule="auto"/>
        <w:ind w:firstLine="720"/>
        <w:jc w:val="both"/>
        <w:rPr>
          <w:rFonts w:asciiTheme="minorHAnsi" w:hAnsiTheme="minorHAnsi"/>
        </w:rPr>
      </w:pPr>
      <w:r>
        <w:rPr>
          <w:rFonts w:asciiTheme="minorHAnsi" w:hAnsiTheme="minorHAnsi"/>
        </w:rPr>
        <w:t xml:space="preserve">These findings provide additional context to those reported in the main text. Despite the fact that the current study was collected nearly 1.5 years into the COVID-19 pandemic, it seems that only select social and mental health features </w:t>
      </w:r>
      <w:r w:rsidR="00842983">
        <w:rPr>
          <w:rFonts w:asciiTheme="minorHAnsi" w:hAnsiTheme="minorHAnsi"/>
        </w:rPr>
        <w:t xml:space="preserve">may </w:t>
      </w:r>
      <w:r>
        <w:rPr>
          <w:rFonts w:asciiTheme="minorHAnsi" w:hAnsiTheme="minorHAnsi"/>
        </w:rPr>
        <w:t xml:space="preserve">have begun to shift back toward </w:t>
      </w:r>
      <w:r w:rsidR="003A3826">
        <w:rPr>
          <w:rFonts w:asciiTheme="minorHAnsi" w:hAnsiTheme="minorHAnsi"/>
        </w:rPr>
        <w:t xml:space="preserve">more </w:t>
      </w:r>
      <w:r>
        <w:rPr>
          <w:rFonts w:asciiTheme="minorHAnsi" w:hAnsiTheme="minorHAnsi"/>
        </w:rPr>
        <w:t xml:space="preserve">typical or pre-pandemic levels </w:t>
      </w:r>
      <w:r w:rsidR="003A3826">
        <w:rPr>
          <w:rFonts w:asciiTheme="minorHAnsi" w:hAnsiTheme="minorHAnsi"/>
        </w:rPr>
        <w:t xml:space="preserve">in this population </w:t>
      </w:r>
      <w:r>
        <w:rPr>
          <w:rFonts w:asciiTheme="minorHAnsi" w:hAnsiTheme="minorHAnsi"/>
        </w:rPr>
        <w:t>relative to an early pandemic time point.</w:t>
      </w:r>
      <w:r w:rsidR="003A3826">
        <w:rPr>
          <w:rFonts w:asciiTheme="minorHAnsi" w:hAnsiTheme="minorHAnsi"/>
        </w:rPr>
        <w:t xml:space="preserve"> We observed elevated mental health symptoms in both the current and previous studies relative to normative data. While these findings of increased mental health symptoms are consistent with </w:t>
      </w:r>
      <w:r w:rsidR="003A3826">
        <w:rPr>
          <w:rFonts w:asciiTheme="minorHAnsi" w:hAnsiTheme="minorHAnsi"/>
        </w:rPr>
        <w:lastRenderedPageBreak/>
        <w:t>other reports on the mental health of undergraduates during the pandemic (</w:t>
      </w:r>
      <w:r w:rsidR="002376D0">
        <w:rPr>
          <w:rFonts w:asciiTheme="minorHAnsi" w:hAnsiTheme="minorHAnsi"/>
        </w:rPr>
        <w:t>Chirikov et al., 2020</w:t>
      </w:r>
      <w:r w:rsidR="003A3826">
        <w:rPr>
          <w:rFonts w:asciiTheme="minorHAnsi" w:hAnsiTheme="minorHAnsi"/>
        </w:rPr>
        <w:t>),</w:t>
      </w:r>
      <w:r>
        <w:rPr>
          <w:rFonts w:asciiTheme="minorHAnsi" w:hAnsiTheme="minorHAnsi"/>
        </w:rPr>
        <w:t xml:space="preserve"> </w:t>
      </w:r>
      <w:r w:rsidR="002376D0">
        <w:rPr>
          <w:rFonts w:asciiTheme="minorHAnsi" w:hAnsiTheme="minorHAnsi"/>
        </w:rPr>
        <w:t xml:space="preserve">it is important to recognize that our specific findings could also reflect differences in students’ mental health over time, as some of the normative data we found were reported several decades ago. </w:t>
      </w:r>
      <w:r w:rsidR="0070374F">
        <w:rPr>
          <w:rFonts w:asciiTheme="minorHAnsi" w:hAnsiTheme="minorHAnsi"/>
        </w:rPr>
        <w:t>S</w:t>
      </w:r>
      <w:r w:rsidR="009925F7">
        <w:rPr>
          <w:rFonts w:asciiTheme="minorHAnsi" w:hAnsiTheme="minorHAnsi"/>
        </w:rPr>
        <w:t xml:space="preserve">tudents </w:t>
      </w:r>
      <w:r w:rsidR="0070374F">
        <w:rPr>
          <w:rFonts w:asciiTheme="minorHAnsi" w:hAnsiTheme="minorHAnsi"/>
        </w:rPr>
        <w:t xml:space="preserve">in these studies further </w:t>
      </w:r>
      <w:r w:rsidR="009925F7">
        <w:rPr>
          <w:rFonts w:asciiTheme="minorHAnsi" w:hAnsiTheme="minorHAnsi"/>
        </w:rPr>
        <w:t>report</w:t>
      </w:r>
      <w:r>
        <w:rPr>
          <w:rFonts w:asciiTheme="minorHAnsi" w:hAnsiTheme="minorHAnsi"/>
        </w:rPr>
        <w:t>ed</w:t>
      </w:r>
      <w:r w:rsidR="009925F7">
        <w:rPr>
          <w:rFonts w:asciiTheme="minorHAnsi" w:hAnsiTheme="minorHAnsi"/>
        </w:rPr>
        <w:t xml:space="preserve"> decreased levels of social interactions overall relative to before the COVID-19 pandemic</w:t>
      </w:r>
      <w:r>
        <w:rPr>
          <w:rFonts w:asciiTheme="minorHAnsi" w:hAnsiTheme="minorHAnsi"/>
        </w:rPr>
        <w:t>. Th</w:t>
      </w:r>
      <w:r w:rsidR="0070374F">
        <w:rPr>
          <w:rFonts w:asciiTheme="minorHAnsi" w:hAnsiTheme="minorHAnsi"/>
        </w:rPr>
        <w:t>ese</w:t>
      </w:r>
      <w:r w:rsidR="00842983">
        <w:rPr>
          <w:rFonts w:asciiTheme="minorHAnsi" w:hAnsiTheme="minorHAnsi"/>
        </w:rPr>
        <w:t xml:space="preserve"> finding</w:t>
      </w:r>
      <w:r w:rsidR="0070374F">
        <w:rPr>
          <w:rFonts w:asciiTheme="minorHAnsi" w:hAnsiTheme="minorHAnsi"/>
        </w:rPr>
        <w:t>s</w:t>
      </w:r>
      <w:r w:rsidR="00842983">
        <w:rPr>
          <w:rFonts w:asciiTheme="minorHAnsi" w:hAnsiTheme="minorHAnsi"/>
        </w:rPr>
        <w:t xml:space="preserve"> may help to explain the mental health symptoms we observed, given that</w:t>
      </w:r>
      <w:r w:rsidR="009925F7">
        <w:rPr>
          <w:rFonts w:asciiTheme="minorHAnsi" w:hAnsiTheme="minorHAnsi"/>
        </w:rPr>
        <w:t xml:space="preserve"> substantial evidence supports that social isolation or feelings of loneliness can be detrimental to mental health (Leigh-Hunt et al., 2017; Rohde et al., 2016; Schwarzer et al., 2014).</w:t>
      </w:r>
    </w:p>
    <w:p w14:paraId="5D292368" w14:textId="439E6BEE" w:rsidR="00387209" w:rsidRDefault="00365191" w:rsidP="000E0E5D">
      <w:pPr>
        <w:pStyle w:val="NormalWeb"/>
        <w:keepNext/>
        <w:keepLines/>
        <w:spacing w:before="0" w:beforeAutospacing="0" w:after="0" w:afterAutospacing="0" w:line="480" w:lineRule="auto"/>
        <w:jc w:val="both"/>
        <w:rPr>
          <w:rFonts w:asciiTheme="minorHAnsi" w:hAnsiTheme="minorHAnsi" w:cstheme="minorHAnsi"/>
          <w:b/>
          <w:bCs/>
          <w:color w:val="000000"/>
        </w:rPr>
      </w:pPr>
      <w:r>
        <w:rPr>
          <w:rFonts w:asciiTheme="minorHAnsi" w:hAnsiTheme="minorHAnsi" w:cstheme="minorHAnsi"/>
          <w:b/>
          <w:bCs/>
          <w:color w:val="000000"/>
        </w:rPr>
        <w:t>Correlation</w:t>
      </w:r>
      <w:r w:rsidR="0059194F">
        <w:rPr>
          <w:rFonts w:asciiTheme="minorHAnsi" w:hAnsiTheme="minorHAnsi" w:cstheme="minorHAnsi"/>
          <w:b/>
          <w:bCs/>
          <w:color w:val="000000"/>
        </w:rPr>
        <w:t>s Between Estimated Changes in Social Reappraisal Support and Mental Health</w:t>
      </w:r>
    </w:p>
    <w:p w14:paraId="17AD4604" w14:textId="383B9410" w:rsidR="0059194F" w:rsidRPr="00757A14" w:rsidRDefault="0059194F" w:rsidP="0059194F">
      <w:pPr>
        <w:keepNext/>
        <w:keepLines/>
        <w:spacing w:line="480" w:lineRule="auto"/>
        <w:rPr>
          <w:b/>
        </w:rPr>
      </w:pPr>
      <w:r w:rsidRPr="00757A14">
        <w:rPr>
          <w:b/>
        </w:rPr>
        <w:t xml:space="preserve">Table </w:t>
      </w:r>
      <w:r>
        <w:rPr>
          <w:b/>
        </w:rPr>
        <w:t>S</w:t>
      </w:r>
      <w:r>
        <w:rPr>
          <w:b/>
        </w:rPr>
        <w:t>3</w:t>
      </w:r>
    </w:p>
    <w:p w14:paraId="6D63B8D4" w14:textId="18A73B61" w:rsidR="0059194F" w:rsidRPr="001300DF" w:rsidRDefault="0059194F" w:rsidP="0059194F">
      <w:pPr>
        <w:keepNext/>
        <w:keepLines/>
        <w:spacing w:line="480" w:lineRule="auto"/>
        <w:rPr>
          <w:i/>
        </w:rPr>
      </w:pPr>
      <w:r>
        <w:rPr>
          <w:i/>
        </w:rPr>
        <w:t>Correlation Table of Estimated Changes in Social Reappraisal Support and Measures of Mental Health Symptoms</w:t>
      </w:r>
    </w:p>
    <w:tbl>
      <w:tblPr>
        <w:tblStyle w:val="TableGrid"/>
        <w:tblW w:w="9360" w:type="dxa"/>
        <w:tblLook w:val="04A0" w:firstRow="1" w:lastRow="0" w:firstColumn="1" w:lastColumn="0" w:noHBand="0" w:noVBand="1"/>
      </w:tblPr>
      <w:tblGrid>
        <w:gridCol w:w="2537"/>
        <w:gridCol w:w="2503"/>
        <w:gridCol w:w="1080"/>
        <w:gridCol w:w="1080"/>
        <w:gridCol w:w="1080"/>
        <w:gridCol w:w="1080"/>
      </w:tblGrid>
      <w:tr w:rsidR="00C05830" w14:paraId="56AAF273" w14:textId="345A447D" w:rsidTr="00647D9C">
        <w:trPr>
          <w:cantSplit/>
        </w:trPr>
        <w:tc>
          <w:tcPr>
            <w:tcW w:w="5040" w:type="dxa"/>
            <w:gridSpan w:val="2"/>
            <w:tcBorders>
              <w:left w:val="nil"/>
              <w:bottom w:val="single" w:sz="4" w:space="0" w:color="auto"/>
              <w:right w:val="nil"/>
            </w:tcBorders>
          </w:tcPr>
          <w:p w14:paraId="65940253" w14:textId="7DD24981" w:rsidR="00C05830" w:rsidRDefault="00C05830" w:rsidP="00C05830">
            <w:pPr>
              <w:keepNext/>
              <w:keepLines/>
              <w:spacing w:after="120"/>
              <w:jc w:val="left"/>
            </w:pPr>
            <w:r>
              <w:t>Estimated Change in Social Reappraisal Support</w:t>
            </w:r>
          </w:p>
        </w:tc>
        <w:tc>
          <w:tcPr>
            <w:tcW w:w="1080" w:type="dxa"/>
            <w:tcBorders>
              <w:left w:val="nil"/>
              <w:bottom w:val="single" w:sz="4" w:space="0" w:color="auto"/>
              <w:right w:val="nil"/>
            </w:tcBorders>
            <w:vAlign w:val="bottom"/>
          </w:tcPr>
          <w:p w14:paraId="680272F3" w14:textId="61B1303A" w:rsidR="00C05830" w:rsidRDefault="00C05830" w:rsidP="00C05830">
            <w:pPr>
              <w:keepNext/>
              <w:keepLines/>
              <w:spacing w:after="120"/>
              <w:jc w:val="center"/>
            </w:pPr>
            <w:r>
              <w:t>PSS</w:t>
            </w:r>
          </w:p>
        </w:tc>
        <w:tc>
          <w:tcPr>
            <w:tcW w:w="1080" w:type="dxa"/>
            <w:tcBorders>
              <w:left w:val="nil"/>
              <w:bottom w:val="single" w:sz="4" w:space="0" w:color="auto"/>
              <w:right w:val="nil"/>
            </w:tcBorders>
            <w:vAlign w:val="bottom"/>
          </w:tcPr>
          <w:p w14:paraId="4100CC50" w14:textId="27D3CA2F" w:rsidR="00C05830" w:rsidRDefault="00C05830" w:rsidP="00C05830">
            <w:pPr>
              <w:keepNext/>
              <w:keepLines/>
              <w:spacing w:after="120"/>
              <w:jc w:val="center"/>
            </w:pPr>
            <w:r>
              <w:t>BDI-II</w:t>
            </w:r>
          </w:p>
        </w:tc>
        <w:tc>
          <w:tcPr>
            <w:tcW w:w="1080" w:type="dxa"/>
            <w:tcBorders>
              <w:left w:val="nil"/>
              <w:bottom w:val="single" w:sz="4" w:space="0" w:color="auto"/>
              <w:right w:val="nil"/>
            </w:tcBorders>
            <w:vAlign w:val="bottom"/>
          </w:tcPr>
          <w:p w14:paraId="538822BA" w14:textId="00E22F44" w:rsidR="00C05830" w:rsidRDefault="00C05830" w:rsidP="00C05830">
            <w:pPr>
              <w:keepNext/>
              <w:keepLines/>
              <w:spacing w:after="120"/>
              <w:jc w:val="center"/>
            </w:pPr>
            <w:r>
              <w:t>STAI</w:t>
            </w:r>
          </w:p>
        </w:tc>
        <w:tc>
          <w:tcPr>
            <w:tcW w:w="1080" w:type="dxa"/>
            <w:tcBorders>
              <w:left w:val="nil"/>
              <w:bottom w:val="single" w:sz="4" w:space="0" w:color="auto"/>
              <w:right w:val="nil"/>
            </w:tcBorders>
            <w:vAlign w:val="bottom"/>
          </w:tcPr>
          <w:p w14:paraId="06022D74" w14:textId="7BF615B8" w:rsidR="00C05830" w:rsidRDefault="00C05830" w:rsidP="00C05830">
            <w:pPr>
              <w:keepNext/>
              <w:keepLines/>
              <w:spacing w:after="120"/>
              <w:jc w:val="center"/>
            </w:pPr>
            <w:r>
              <w:t>SHAI</w:t>
            </w:r>
          </w:p>
        </w:tc>
      </w:tr>
      <w:tr w:rsidR="0059194F" w14:paraId="3C4EB9B6" w14:textId="559A6E9F" w:rsidTr="00647D9C">
        <w:trPr>
          <w:cantSplit/>
        </w:trPr>
        <w:tc>
          <w:tcPr>
            <w:tcW w:w="2537" w:type="dxa"/>
            <w:tcBorders>
              <w:top w:val="nil"/>
              <w:left w:val="nil"/>
              <w:bottom w:val="nil"/>
              <w:right w:val="nil"/>
            </w:tcBorders>
          </w:tcPr>
          <w:p w14:paraId="1FE35150" w14:textId="77777777" w:rsidR="0059194F" w:rsidRDefault="0059194F" w:rsidP="0059194F">
            <w:pPr>
              <w:keepNext/>
              <w:keepLines/>
              <w:spacing w:after="120"/>
            </w:pPr>
            <w:r>
              <w:t>Overall</w:t>
            </w:r>
          </w:p>
        </w:tc>
        <w:tc>
          <w:tcPr>
            <w:tcW w:w="2503" w:type="dxa"/>
            <w:tcBorders>
              <w:top w:val="nil"/>
              <w:left w:val="nil"/>
              <w:bottom w:val="nil"/>
              <w:right w:val="nil"/>
            </w:tcBorders>
          </w:tcPr>
          <w:p w14:paraId="3D5485FE" w14:textId="2B343844" w:rsidR="0059194F" w:rsidRPr="0059194F" w:rsidRDefault="0059194F" w:rsidP="00647D9C">
            <w:pPr>
              <w:keepNext/>
              <w:keepLines/>
              <w:spacing w:after="120"/>
              <w:jc w:val="right"/>
              <w:rPr>
                <w:i/>
                <w:iCs/>
              </w:rPr>
            </w:pPr>
            <w:r w:rsidRPr="0059194F">
              <w:rPr>
                <w:i/>
                <w:iCs/>
              </w:rPr>
              <w:t>r</w:t>
            </w:r>
          </w:p>
        </w:tc>
        <w:tc>
          <w:tcPr>
            <w:tcW w:w="1080" w:type="dxa"/>
            <w:tcBorders>
              <w:top w:val="nil"/>
              <w:left w:val="nil"/>
              <w:bottom w:val="nil"/>
              <w:right w:val="nil"/>
            </w:tcBorders>
          </w:tcPr>
          <w:p w14:paraId="6EB34027" w14:textId="2F7C5585" w:rsidR="0059194F" w:rsidRDefault="00C05830" w:rsidP="004C43EB">
            <w:pPr>
              <w:keepNext/>
              <w:keepLines/>
              <w:spacing w:after="120"/>
              <w:jc w:val="center"/>
            </w:pPr>
            <w:r>
              <w:t>-.182</w:t>
            </w:r>
          </w:p>
        </w:tc>
        <w:tc>
          <w:tcPr>
            <w:tcW w:w="1080" w:type="dxa"/>
            <w:tcBorders>
              <w:top w:val="nil"/>
              <w:left w:val="nil"/>
              <w:bottom w:val="nil"/>
              <w:right w:val="nil"/>
            </w:tcBorders>
          </w:tcPr>
          <w:p w14:paraId="6DB10D0E" w14:textId="6DA9BD73" w:rsidR="0059194F" w:rsidRDefault="00C05830" w:rsidP="004C43EB">
            <w:pPr>
              <w:keepNext/>
              <w:keepLines/>
              <w:spacing w:after="120"/>
              <w:jc w:val="center"/>
            </w:pPr>
            <w:r>
              <w:t>-.028</w:t>
            </w:r>
          </w:p>
        </w:tc>
        <w:tc>
          <w:tcPr>
            <w:tcW w:w="1080" w:type="dxa"/>
            <w:tcBorders>
              <w:top w:val="nil"/>
              <w:left w:val="nil"/>
              <w:bottom w:val="nil"/>
              <w:right w:val="nil"/>
            </w:tcBorders>
          </w:tcPr>
          <w:p w14:paraId="3160E58A" w14:textId="7E374DF2" w:rsidR="0059194F" w:rsidRDefault="00C05830" w:rsidP="004C43EB">
            <w:pPr>
              <w:keepNext/>
              <w:keepLines/>
              <w:spacing w:after="120"/>
              <w:jc w:val="center"/>
            </w:pPr>
            <w:r>
              <w:t>-.104</w:t>
            </w:r>
          </w:p>
        </w:tc>
        <w:tc>
          <w:tcPr>
            <w:tcW w:w="1080" w:type="dxa"/>
            <w:tcBorders>
              <w:top w:val="nil"/>
              <w:left w:val="nil"/>
              <w:bottom w:val="nil"/>
              <w:right w:val="nil"/>
            </w:tcBorders>
          </w:tcPr>
          <w:p w14:paraId="2092BE0D" w14:textId="4EAD87E3" w:rsidR="0059194F" w:rsidRDefault="00C05830" w:rsidP="004C43EB">
            <w:pPr>
              <w:keepNext/>
              <w:keepLines/>
              <w:spacing w:after="120"/>
              <w:jc w:val="center"/>
            </w:pPr>
            <w:r>
              <w:t>.096</w:t>
            </w:r>
          </w:p>
        </w:tc>
      </w:tr>
      <w:tr w:rsidR="0059194F" w14:paraId="79CC3C5A" w14:textId="77777777" w:rsidTr="00647D9C">
        <w:trPr>
          <w:cantSplit/>
        </w:trPr>
        <w:tc>
          <w:tcPr>
            <w:tcW w:w="2537" w:type="dxa"/>
            <w:tcBorders>
              <w:top w:val="nil"/>
              <w:left w:val="nil"/>
              <w:bottom w:val="single" w:sz="4" w:space="0" w:color="auto"/>
              <w:right w:val="nil"/>
            </w:tcBorders>
          </w:tcPr>
          <w:p w14:paraId="0375FF7E" w14:textId="77777777" w:rsidR="0059194F" w:rsidRDefault="0059194F" w:rsidP="0059194F">
            <w:pPr>
              <w:keepNext/>
              <w:keepLines/>
              <w:spacing w:after="120"/>
            </w:pPr>
          </w:p>
        </w:tc>
        <w:tc>
          <w:tcPr>
            <w:tcW w:w="2503" w:type="dxa"/>
            <w:tcBorders>
              <w:top w:val="nil"/>
              <w:left w:val="nil"/>
              <w:bottom w:val="single" w:sz="4" w:space="0" w:color="auto"/>
              <w:right w:val="nil"/>
            </w:tcBorders>
          </w:tcPr>
          <w:p w14:paraId="60D73C12" w14:textId="618D77C7" w:rsidR="0059194F" w:rsidRPr="0059194F" w:rsidRDefault="00647D9C" w:rsidP="00647D9C">
            <w:pPr>
              <w:keepNext/>
              <w:keepLines/>
              <w:spacing w:after="120"/>
              <w:jc w:val="right"/>
              <w:rPr>
                <w:i/>
                <w:iCs/>
              </w:rPr>
            </w:pPr>
            <w:r w:rsidRPr="00647D9C">
              <w:t xml:space="preserve">uncorrected </w:t>
            </w:r>
            <w:r w:rsidR="0059194F" w:rsidRPr="0059194F">
              <w:rPr>
                <w:i/>
                <w:iCs/>
              </w:rPr>
              <w:t>p</w:t>
            </w:r>
          </w:p>
        </w:tc>
        <w:tc>
          <w:tcPr>
            <w:tcW w:w="1080" w:type="dxa"/>
            <w:tcBorders>
              <w:top w:val="nil"/>
              <w:left w:val="nil"/>
              <w:bottom w:val="single" w:sz="4" w:space="0" w:color="auto"/>
              <w:right w:val="nil"/>
            </w:tcBorders>
          </w:tcPr>
          <w:p w14:paraId="3C285A54" w14:textId="1C15C696" w:rsidR="0059194F" w:rsidRDefault="00C05830" w:rsidP="004C43EB">
            <w:pPr>
              <w:keepNext/>
              <w:keepLines/>
              <w:spacing w:after="120"/>
              <w:jc w:val="center"/>
            </w:pPr>
            <w:r>
              <w:t>.025</w:t>
            </w:r>
          </w:p>
        </w:tc>
        <w:tc>
          <w:tcPr>
            <w:tcW w:w="1080" w:type="dxa"/>
            <w:tcBorders>
              <w:top w:val="nil"/>
              <w:left w:val="nil"/>
              <w:bottom w:val="single" w:sz="4" w:space="0" w:color="auto"/>
              <w:right w:val="nil"/>
            </w:tcBorders>
          </w:tcPr>
          <w:p w14:paraId="731E0F8B" w14:textId="2474E3DF" w:rsidR="0059194F" w:rsidRDefault="00C05830" w:rsidP="004C43EB">
            <w:pPr>
              <w:keepNext/>
              <w:keepLines/>
              <w:spacing w:after="120"/>
              <w:jc w:val="center"/>
            </w:pPr>
            <w:r>
              <w:t>.730</w:t>
            </w:r>
          </w:p>
        </w:tc>
        <w:tc>
          <w:tcPr>
            <w:tcW w:w="1080" w:type="dxa"/>
            <w:tcBorders>
              <w:top w:val="nil"/>
              <w:left w:val="nil"/>
              <w:bottom w:val="single" w:sz="4" w:space="0" w:color="auto"/>
              <w:right w:val="nil"/>
            </w:tcBorders>
          </w:tcPr>
          <w:p w14:paraId="63474F30" w14:textId="62034BD5" w:rsidR="0059194F" w:rsidRDefault="00C05830" w:rsidP="004C43EB">
            <w:pPr>
              <w:keepNext/>
              <w:keepLines/>
              <w:spacing w:after="120"/>
              <w:jc w:val="center"/>
            </w:pPr>
            <w:r>
              <w:t>.202</w:t>
            </w:r>
          </w:p>
        </w:tc>
        <w:tc>
          <w:tcPr>
            <w:tcW w:w="1080" w:type="dxa"/>
            <w:tcBorders>
              <w:top w:val="nil"/>
              <w:left w:val="nil"/>
              <w:bottom w:val="single" w:sz="4" w:space="0" w:color="auto"/>
              <w:right w:val="nil"/>
            </w:tcBorders>
          </w:tcPr>
          <w:p w14:paraId="41B5E2D7" w14:textId="2E5DEED1" w:rsidR="0059194F" w:rsidRDefault="00C05830" w:rsidP="004C43EB">
            <w:pPr>
              <w:keepNext/>
              <w:keepLines/>
              <w:spacing w:after="120"/>
              <w:jc w:val="center"/>
            </w:pPr>
            <w:r>
              <w:t>.241</w:t>
            </w:r>
          </w:p>
        </w:tc>
      </w:tr>
      <w:tr w:rsidR="0059194F" w14:paraId="76C2225B" w14:textId="3891CEF7" w:rsidTr="00647D9C">
        <w:trPr>
          <w:cantSplit/>
        </w:trPr>
        <w:tc>
          <w:tcPr>
            <w:tcW w:w="2537" w:type="dxa"/>
            <w:tcBorders>
              <w:top w:val="single" w:sz="4" w:space="0" w:color="auto"/>
              <w:left w:val="nil"/>
              <w:bottom w:val="nil"/>
              <w:right w:val="nil"/>
            </w:tcBorders>
          </w:tcPr>
          <w:p w14:paraId="33375D0D" w14:textId="77777777" w:rsidR="0059194F" w:rsidRDefault="0059194F" w:rsidP="0059194F">
            <w:pPr>
              <w:keepNext/>
              <w:keepLines/>
              <w:spacing w:after="120"/>
            </w:pPr>
            <w:r>
              <w:t>Text</w:t>
            </w:r>
          </w:p>
        </w:tc>
        <w:tc>
          <w:tcPr>
            <w:tcW w:w="2503" w:type="dxa"/>
            <w:tcBorders>
              <w:top w:val="single" w:sz="4" w:space="0" w:color="auto"/>
              <w:left w:val="nil"/>
              <w:bottom w:val="nil"/>
              <w:right w:val="nil"/>
            </w:tcBorders>
          </w:tcPr>
          <w:p w14:paraId="51EB2F73" w14:textId="34D8092B" w:rsidR="0059194F" w:rsidRDefault="0059194F" w:rsidP="00647D9C">
            <w:pPr>
              <w:keepNext/>
              <w:keepLines/>
              <w:spacing w:after="120"/>
              <w:jc w:val="right"/>
            </w:pPr>
            <w:r w:rsidRPr="0059194F">
              <w:rPr>
                <w:i/>
                <w:iCs/>
              </w:rPr>
              <w:t>r</w:t>
            </w:r>
          </w:p>
        </w:tc>
        <w:tc>
          <w:tcPr>
            <w:tcW w:w="1080" w:type="dxa"/>
            <w:tcBorders>
              <w:top w:val="single" w:sz="4" w:space="0" w:color="auto"/>
              <w:left w:val="nil"/>
              <w:bottom w:val="nil"/>
              <w:right w:val="nil"/>
            </w:tcBorders>
          </w:tcPr>
          <w:p w14:paraId="6DF97EB5" w14:textId="16D8AD86" w:rsidR="0059194F" w:rsidRDefault="00C05830" w:rsidP="0059194F">
            <w:pPr>
              <w:keepNext/>
              <w:keepLines/>
              <w:spacing w:after="120"/>
              <w:jc w:val="center"/>
            </w:pPr>
            <w:r>
              <w:t>-.162</w:t>
            </w:r>
          </w:p>
        </w:tc>
        <w:tc>
          <w:tcPr>
            <w:tcW w:w="1080" w:type="dxa"/>
            <w:tcBorders>
              <w:top w:val="single" w:sz="4" w:space="0" w:color="auto"/>
              <w:left w:val="nil"/>
              <w:bottom w:val="nil"/>
              <w:right w:val="nil"/>
            </w:tcBorders>
          </w:tcPr>
          <w:p w14:paraId="177ECE6E" w14:textId="20C6E39C" w:rsidR="0059194F" w:rsidRDefault="00C05830" w:rsidP="0059194F">
            <w:pPr>
              <w:keepNext/>
              <w:keepLines/>
              <w:spacing w:after="120"/>
              <w:jc w:val="center"/>
            </w:pPr>
            <w:r>
              <w:t>-.088</w:t>
            </w:r>
          </w:p>
        </w:tc>
        <w:tc>
          <w:tcPr>
            <w:tcW w:w="1080" w:type="dxa"/>
            <w:tcBorders>
              <w:top w:val="single" w:sz="4" w:space="0" w:color="auto"/>
              <w:left w:val="nil"/>
              <w:bottom w:val="nil"/>
              <w:right w:val="nil"/>
            </w:tcBorders>
          </w:tcPr>
          <w:p w14:paraId="16617EBB" w14:textId="23FCEF4E" w:rsidR="0059194F" w:rsidRDefault="00C05830" w:rsidP="0059194F">
            <w:pPr>
              <w:keepNext/>
              <w:keepLines/>
              <w:spacing w:after="120"/>
              <w:jc w:val="center"/>
            </w:pPr>
            <w:r>
              <w:t>-.171</w:t>
            </w:r>
          </w:p>
        </w:tc>
        <w:tc>
          <w:tcPr>
            <w:tcW w:w="1080" w:type="dxa"/>
            <w:tcBorders>
              <w:top w:val="single" w:sz="4" w:space="0" w:color="auto"/>
              <w:left w:val="nil"/>
              <w:bottom w:val="nil"/>
              <w:right w:val="nil"/>
            </w:tcBorders>
          </w:tcPr>
          <w:p w14:paraId="4CBDB631" w14:textId="6E2A8405" w:rsidR="0059194F" w:rsidRDefault="00C05830" w:rsidP="0059194F">
            <w:pPr>
              <w:keepNext/>
              <w:keepLines/>
              <w:spacing w:after="120"/>
              <w:jc w:val="center"/>
            </w:pPr>
            <w:r>
              <w:t>.110</w:t>
            </w:r>
          </w:p>
        </w:tc>
      </w:tr>
      <w:tr w:rsidR="0059194F" w14:paraId="4C6E9E79" w14:textId="77777777" w:rsidTr="00647D9C">
        <w:trPr>
          <w:cantSplit/>
        </w:trPr>
        <w:tc>
          <w:tcPr>
            <w:tcW w:w="2537" w:type="dxa"/>
            <w:tcBorders>
              <w:top w:val="nil"/>
              <w:left w:val="nil"/>
              <w:bottom w:val="single" w:sz="4" w:space="0" w:color="auto"/>
              <w:right w:val="nil"/>
            </w:tcBorders>
          </w:tcPr>
          <w:p w14:paraId="5719B857" w14:textId="77777777" w:rsidR="0059194F" w:rsidRDefault="0059194F" w:rsidP="0059194F">
            <w:pPr>
              <w:keepNext/>
              <w:keepLines/>
              <w:spacing w:after="120"/>
            </w:pPr>
          </w:p>
        </w:tc>
        <w:tc>
          <w:tcPr>
            <w:tcW w:w="2503" w:type="dxa"/>
            <w:tcBorders>
              <w:top w:val="nil"/>
              <w:left w:val="nil"/>
              <w:bottom w:val="single" w:sz="4" w:space="0" w:color="auto"/>
              <w:right w:val="nil"/>
            </w:tcBorders>
          </w:tcPr>
          <w:p w14:paraId="10C1C2B2" w14:textId="1AC0B6A1" w:rsidR="0059194F" w:rsidRDefault="00647D9C" w:rsidP="00647D9C">
            <w:pPr>
              <w:keepNext/>
              <w:keepLines/>
              <w:spacing w:after="120"/>
              <w:jc w:val="right"/>
            </w:pPr>
            <w:r w:rsidRPr="00647D9C">
              <w:t xml:space="preserve">uncorrected </w:t>
            </w:r>
            <w:r w:rsidRPr="0059194F">
              <w:rPr>
                <w:i/>
                <w:iCs/>
              </w:rPr>
              <w:t>p</w:t>
            </w:r>
          </w:p>
        </w:tc>
        <w:tc>
          <w:tcPr>
            <w:tcW w:w="1080" w:type="dxa"/>
            <w:tcBorders>
              <w:top w:val="nil"/>
              <w:left w:val="nil"/>
              <w:bottom w:val="single" w:sz="4" w:space="0" w:color="auto"/>
              <w:right w:val="nil"/>
            </w:tcBorders>
          </w:tcPr>
          <w:p w14:paraId="7456F197" w14:textId="244CDAC0" w:rsidR="0059194F" w:rsidRDefault="00C05830" w:rsidP="0059194F">
            <w:pPr>
              <w:keepNext/>
              <w:keepLines/>
              <w:spacing w:after="120"/>
              <w:jc w:val="center"/>
            </w:pPr>
            <w:r>
              <w:t>.046</w:t>
            </w:r>
          </w:p>
        </w:tc>
        <w:tc>
          <w:tcPr>
            <w:tcW w:w="1080" w:type="dxa"/>
            <w:tcBorders>
              <w:top w:val="nil"/>
              <w:left w:val="nil"/>
              <w:bottom w:val="single" w:sz="4" w:space="0" w:color="auto"/>
              <w:right w:val="nil"/>
            </w:tcBorders>
          </w:tcPr>
          <w:p w14:paraId="467F2045" w14:textId="56FFD4EC" w:rsidR="0059194F" w:rsidRDefault="00C05830" w:rsidP="0059194F">
            <w:pPr>
              <w:keepNext/>
              <w:keepLines/>
              <w:spacing w:after="120"/>
              <w:jc w:val="center"/>
            </w:pPr>
            <w:r>
              <w:t>.284</w:t>
            </w:r>
          </w:p>
        </w:tc>
        <w:tc>
          <w:tcPr>
            <w:tcW w:w="1080" w:type="dxa"/>
            <w:tcBorders>
              <w:top w:val="nil"/>
              <w:left w:val="nil"/>
              <w:bottom w:val="single" w:sz="4" w:space="0" w:color="auto"/>
              <w:right w:val="nil"/>
            </w:tcBorders>
          </w:tcPr>
          <w:p w14:paraId="1605DEFF" w14:textId="677FE896" w:rsidR="0059194F" w:rsidRDefault="00C05830" w:rsidP="0059194F">
            <w:pPr>
              <w:keepNext/>
              <w:keepLines/>
              <w:spacing w:after="120"/>
              <w:jc w:val="center"/>
            </w:pPr>
            <w:r>
              <w:t>.035</w:t>
            </w:r>
          </w:p>
        </w:tc>
        <w:tc>
          <w:tcPr>
            <w:tcW w:w="1080" w:type="dxa"/>
            <w:tcBorders>
              <w:top w:val="nil"/>
              <w:left w:val="nil"/>
              <w:bottom w:val="single" w:sz="4" w:space="0" w:color="auto"/>
              <w:right w:val="nil"/>
            </w:tcBorders>
          </w:tcPr>
          <w:p w14:paraId="7A488DA3" w14:textId="1CB5F2FA" w:rsidR="0059194F" w:rsidRDefault="00C05830" w:rsidP="0059194F">
            <w:pPr>
              <w:keepNext/>
              <w:keepLines/>
              <w:spacing w:after="120"/>
              <w:jc w:val="center"/>
            </w:pPr>
            <w:r>
              <w:t>.177</w:t>
            </w:r>
          </w:p>
        </w:tc>
      </w:tr>
      <w:tr w:rsidR="0059194F" w14:paraId="096F8B92" w14:textId="25035530" w:rsidTr="00647D9C">
        <w:trPr>
          <w:cantSplit/>
        </w:trPr>
        <w:tc>
          <w:tcPr>
            <w:tcW w:w="2537" w:type="dxa"/>
            <w:tcBorders>
              <w:top w:val="single" w:sz="4" w:space="0" w:color="auto"/>
              <w:left w:val="nil"/>
              <w:bottom w:val="nil"/>
              <w:right w:val="nil"/>
            </w:tcBorders>
          </w:tcPr>
          <w:p w14:paraId="10ACF971" w14:textId="77777777" w:rsidR="0059194F" w:rsidRDefault="0059194F" w:rsidP="0059194F">
            <w:pPr>
              <w:keepNext/>
              <w:keepLines/>
              <w:spacing w:after="120"/>
            </w:pPr>
            <w:r>
              <w:t>Voice</w:t>
            </w:r>
          </w:p>
        </w:tc>
        <w:tc>
          <w:tcPr>
            <w:tcW w:w="2503" w:type="dxa"/>
            <w:tcBorders>
              <w:top w:val="single" w:sz="4" w:space="0" w:color="auto"/>
              <w:left w:val="nil"/>
              <w:bottom w:val="nil"/>
              <w:right w:val="nil"/>
            </w:tcBorders>
          </w:tcPr>
          <w:p w14:paraId="733CE807" w14:textId="304A7B3C" w:rsidR="0059194F" w:rsidRDefault="0059194F" w:rsidP="00647D9C">
            <w:pPr>
              <w:keepNext/>
              <w:keepLines/>
              <w:spacing w:after="120"/>
              <w:jc w:val="right"/>
            </w:pPr>
            <w:r w:rsidRPr="0059194F">
              <w:rPr>
                <w:i/>
                <w:iCs/>
              </w:rPr>
              <w:t>r</w:t>
            </w:r>
          </w:p>
        </w:tc>
        <w:tc>
          <w:tcPr>
            <w:tcW w:w="1080" w:type="dxa"/>
            <w:tcBorders>
              <w:top w:val="single" w:sz="4" w:space="0" w:color="auto"/>
              <w:left w:val="nil"/>
              <w:bottom w:val="nil"/>
              <w:right w:val="nil"/>
            </w:tcBorders>
          </w:tcPr>
          <w:p w14:paraId="56EA2B9B" w14:textId="448905C5" w:rsidR="0059194F" w:rsidRDefault="00C05830" w:rsidP="0059194F">
            <w:pPr>
              <w:keepNext/>
              <w:keepLines/>
              <w:spacing w:after="120"/>
              <w:jc w:val="center"/>
            </w:pPr>
            <w:r>
              <w:t>-.148</w:t>
            </w:r>
          </w:p>
        </w:tc>
        <w:tc>
          <w:tcPr>
            <w:tcW w:w="1080" w:type="dxa"/>
            <w:tcBorders>
              <w:top w:val="single" w:sz="4" w:space="0" w:color="auto"/>
              <w:left w:val="nil"/>
              <w:bottom w:val="nil"/>
              <w:right w:val="nil"/>
            </w:tcBorders>
          </w:tcPr>
          <w:p w14:paraId="7097C50E" w14:textId="323B32C2" w:rsidR="0059194F" w:rsidRDefault="00C05830" w:rsidP="0059194F">
            <w:pPr>
              <w:keepNext/>
              <w:keepLines/>
              <w:spacing w:after="120"/>
              <w:jc w:val="center"/>
            </w:pPr>
            <w:r>
              <w:t>.043</w:t>
            </w:r>
          </w:p>
        </w:tc>
        <w:tc>
          <w:tcPr>
            <w:tcW w:w="1080" w:type="dxa"/>
            <w:tcBorders>
              <w:top w:val="single" w:sz="4" w:space="0" w:color="auto"/>
              <w:left w:val="nil"/>
              <w:bottom w:val="nil"/>
              <w:right w:val="nil"/>
            </w:tcBorders>
          </w:tcPr>
          <w:p w14:paraId="152E96F4" w14:textId="4D24B85F" w:rsidR="0059194F" w:rsidRDefault="00C05830" w:rsidP="0059194F">
            <w:pPr>
              <w:keepNext/>
              <w:keepLines/>
              <w:spacing w:after="120"/>
              <w:jc w:val="center"/>
            </w:pPr>
            <w:r>
              <w:t>-.061</w:t>
            </w:r>
          </w:p>
        </w:tc>
        <w:tc>
          <w:tcPr>
            <w:tcW w:w="1080" w:type="dxa"/>
            <w:tcBorders>
              <w:top w:val="single" w:sz="4" w:space="0" w:color="auto"/>
              <w:left w:val="nil"/>
              <w:bottom w:val="nil"/>
              <w:right w:val="nil"/>
            </w:tcBorders>
          </w:tcPr>
          <w:p w14:paraId="0BE7CEAF" w14:textId="68E3AAA4" w:rsidR="0059194F" w:rsidRDefault="00C05830" w:rsidP="0059194F">
            <w:pPr>
              <w:keepNext/>
              <w:keepLines/>
              <w:spacing w:after="120"/>
              <w:jc w:val="center"/>
            </w:pPr>
            <w:r>
              <w:t>.137</w:t>
            </w:r>
          </w:p>
        </w:tc>
      </w:tr>
      <w:tr w:rsidR="0059194F" w14:paraId="4FF7F41C" w14:textId="77777777" w:rsidTr="00647D9C">
        <w:trPr>
          <w:cantSplit/>
        </w:trPr>
        <w:tc>
          <w:tcPr>
            <w:tcW w:w="2537" w:type="dxa"/>
            <w:tcBorders>
              <w:top w:val="nil"/>
              <w:left w:val="nil"/>
              <w:bottom w:val="single" w:sz="4" w:space="0" w:color="auto"/>
              <w:right w:val="nil"/>
            </w:tcBorders>
          </w:tcPr>
          <w:p w14:paraId="25C94842" w14:textId="77777777" w:rsidR="0059194F" w:rsidRDefault="0059194F" w:rsidP="0059194F">
            <w:pPr>
              <w:keepNext/>
              <w:keepLines/>
              <w:spacing w:after="120"/>
            </w:pPr>
          </w:p>
        </w:tc>
        <w:tc>
          <w:tcPr>
            <w:tcW w:w="2503" w:type="dxa"/>
            <w:tcBorders>
              <w:top w:val="nil"/>
              <w:left w:val="nil"/>
              <w:bottom w:val="single" w:sz="4" w:space="0" w:color="auto"/>
              <w:right w:val="nil"/>
            </w:tcBorders>
          </w:tcPr>
          <w:p w14:paraId="35E5D2DC" w14:textId="7F9FED43" w:rsidR="0059194F" w:rsidRDefault="00647D9C" w:rsidP="00647D9C">
            <w:pPr>
              <w:keepNext/>
              <w:keepLines/>
              <w:spacing w:after="120"/>
              <w:jc w:val="right"/>
            </w:pPr>
            <w:r w:rsidRPr="00647D9C">
              <w:t xml:space="preserve">uncorrected </w:t>
            </w:r>
            <w:r w:rsidRPr="0059194F">
              <w:rPr>
                <w:i/>
                <w:iCs/>
              </w:rPr>
              <w:t>p</w:t>
            </w:r>
          </w:p>
        </w:tc>
        <w:tc>
          <w:tcPr>
            <w:tcW w:w="1080" w:type="dxa"/>
            <w:tcBorders>
              <w:top w:val="nil"/>
              <w:left w:val="nil"/>
              <w:bottom w:val="single" w:sz="4" w:space="0" w:color="auto"/>
              <w:right w:val="nil"/>
            </w:tcBorders>
          </w:tcPr>
          <w:p w14:paraId="4CD71551" w14:textId="21799927" w:rsidR="0059194F" w:rsidRDefault="00C05830" w:rsidP="0059194F">
            <w:pPr>
              <w:keepNext/>
              <w:keepLines/>
              <w:spacing w:after="120"/>
              <w:jc w:val="center"/>
            </w:pPr>
            <w:r>
              <w:t>.071</w:t>
            </w:r>
          </w:p>
        </w:tc>
        <w:tc>
          <w:tcPr>
            <w:tcW w:w="1080" w:type="dxa"/>
            <w:tcBorders>
              <w:top w:val="nil"/>
              <w:left w:val="nil"/>
              <w:bottom w:val="single" w:sz="4" w:space="0" w:color="auto"/>
              <w:right w:val="nil"/>
            </w:tcBorders>
          </w:tcPr>
          <w:p w14:paraId="7259A4A2" w14:textId="05C665A6" w:rsidR="0059194F" w:rsidRDefault="00C05830" w:rsidP="0059194F">
            <w:pPr>
              <w:keepNext/>
              <w:keepLines/>
              <w:spacing w:after="120"/>
              <w:jc w:val="center"/>
            </w:pPr>
            <w:r>
              <w:t>.606</w:t>
            </w:r>
          </w:p>
        </w:tc>
        <w:tc>
          <w:tcPr>
            <w:tcW w:w="1080" w:type="dxa"/>
            <w:tcBorders>
              <w:top w:val="nil"/>
              <w:left w:val="nil"/>
              <w:bottom w:val="single" w:sz="4" w:space="0" w:color="auto"/>
              <w:right w:val="nil"/>
            </w:tcBorders>
          </w:tcPr>
          <w:p w14:paraId="740DBD61" w14:textId="73ED7240" w:rsidR="0059194F" w:rsidRDefault="00C05830" w:rsidP="0059194F">
            <w:pPr>
              <w:keepNext/>
              <w:keepLines/>
              <w:spacing w:after="120"/>
              <w:jc w:val="center"/>
            </w:pPr>
            <w:r>
              <w:t>.457</w:t>
            </w:r>
          </w:p>
        </w:tc>
        <w:tc>
          <w:tcPr>
            <w:tcW w:w="1080" w:type="dxa"/>
            <w:tcBorders>
              <w:top w:val="nil"/>
              <w:left w:val="nil"/>
              <w:bottom w:val="single" w:sz="4" w:space="0" w:color="auto"/>
              <w:right w:val="nil"/>
            </w:tcBorders>
          </w:tcPr>
          <w:p w14:paraId="4E272D0C" w14:textId="14DC0C30" w:rsidR="0059194F" w:rsidRDefault="00C05830" w:rsidP="0059194F">
            <w:pPr>
              <w:keepNext/>
              <w:keepLines/>
              <w:spacing w:after="120"/>
              <w:jc w:val="center"/>
            </w:pPr>
            <w:r>
              <w:t>.095</w:t>
            </w:r>
          </w:p>
        </w:tc>
      </w:tr>
      <w:tr w:rsidR="0059194F" w14:paraId="05F57E08" w14:textId="56F0C48C" w:rsidTr="00647D9C">
        <w:trPr>
          <w:cantSplit/>
        </w:trPr>
        <w:tc>
          <w:tcPr>
            <w:tcW w:w="2537" w:type="dxa"/>
            <w:tcBorders>
              <w:top w:val="single" w:sz="4" w:space="0" w:color="auto"/>
              <w:left w:val="nil"/>
              <w:bottom w:val="nil"/>
              <w:right w:val="nil"/>
            </w:tcBorders>
          </w:tcPr>
          <w:p w14:paraId="174A1FA8" w14:textId="77777777" w:rsidR="0059194F" w:rsidRDefault="0059194F" w:rsidP="0059194F">
            <w:pPr>
              <w:keepNext/>
              <w:keepLines/>
              <w:spacing w:after="120"/>
            </w:pPr>
            <w:r>
              <w:t>Video</w:t>
            </w:r>
          </w:p>
        </w:tc>
        <w:tc>
          <w:tcPr>
            <w:tcW w:w="2503" w:type="dxa"/>
            <w:tcBorders>
              <w:top w:val="single" w:sz="4" w:space="0" w:color="auto"/>
              <w:left w:val="nil"/>
              <w:bottom w:val="nil"/>
              <w:right w:val="nil"/>
            </w:tcBorders>
          </w:tcPr>
          <w:p w14:paraId="1056A76E" w14:textId="722B683D" w:rsidR="0059194F" w:rsidRDefault="0059194F" w:rsidP="00647D9C">
            <w:pPr>
              <w:keepNext/>
              <w:keepLines/>
              <w:spacing w:after="120"/>
              <w:jc w:val="right"/>
            </w:pPr>
            <w:r w:rsidRPr="0059194F">
              <w:rPr>
                <w:i/>
                <w:iCs/>
              </w:rPr>
              <w:t>r</w:t>
            </w:r>
          </w:p>
        </w:tc>
        <w:tc>
          <w:tcPr>
            <w:tcW w:w="1080" w:type="dxa"/>
            <w:tcBorders>
              <w:top w:val="single" w:sz="4" w:space="0" w:color="auto"/>
              <w:left w:val="nil"/>
              <w:bottom w:val="nil"/>
              <w:right w:val="nil"/>
            </w:tcBorders>
          </w:tcPr>
          <w:p w14:paraId="11AD2BAD" w14:textId="58BB70B6" w:rsidR="0059194F" w:rsidRDefault="00C05830" w:rsidP="0059194F">
            <w:pPr>
              <w:keepNext/>
              <w:keepLines/>
              <w:spacing w:after="120"/>
              <w:jc w:val="center"/>
            </w:pPr>
            <w:r>
              <w:t>-.149</w:t>
            </w:r>
          </w:p>
        </w:tc>
        <w:tc>
          <w:tcPr>
            <w:tcW w:w="1080" w:type="dxa"/>
            <w:tcBorders>
              <w:top w:val="single" w:sz="4" w:space="0" w:color="auto"/>
              <w:left w:val="nil"/>
              <w:bottom w:val="nil"/>
              <w:right w:val="nil"/>
            </w:tcBorders>
          </w:tcPr>
          <w:p w14:paraId="3B7155CD" w14:textId="0946C301" w:rsidR="0059194F" w:rsidRDefault="00C05830" w:rsidP="0059194F">
            <w:pPr>
              <w:keepNext/>
              <w:keepLines/>
              <w:spacing w:after="120"/>
              <w:jc w:val="center"/>
            </w:pPr>
            <w:r>
              <w:t>-.109</w:t>
            </w:r>
          </w:p>
        </w:tc>
        <w:tc>
          <w:tcPr>
            <w:tcW w:w="1080" w:type="dxa"/>
            <w:tcBorders>
              <w:top w:val="single" w:sz="4" w:space="0" w:color="auto"/>
              <w:left w:val="nil"/>
              <w:bottom w:val="nil"/>
              <w:right w:val="nil"/>
            </w:tcBorders>
          </w:tcPr>
          <w:p w14:paraId="3F466934" w14:textId="3A18961D" w:rsidR="0059194F" w:rsidRDefault="00C05830" w:rsidP="0059194F">
            <w:pPr>
              <w:keepNext/>
              <w:keepLines/>
              <w:spacing w:after="120"/>
              <w:jc w:val="center"/>
            </w:pPr>
            <w:r>
              <w:t>-.197</w:t>
            </w:r>
          </w:p>
        </w:tc>
        <w:tc>
          <w:tcPr>
            <w:tcW w:w="1080" w:type="dxa"/>
            <w:tcBorders>
              <w:top w:val="single" w:sz="4" w:space="0" w:color="auto"/>
              <w:left w:val="nil"/>
              <w:bottom w:val="nil"/>
              <w:right w:val="nil"/>
            </w:tcBorders>
          </w:tcPr>
          <w:p w14:paraId="6DB118CE" w14:textId="02B9B736" w:rsidR="0059194F" w:rsidRDefault="00C05830" w:rsidP="0059194F">
            <w:pPr>
              <w:keepNext/>
              <w:keepLines/>
              <w:spacing w:after="120"/>
              <w:jc w:val="center"/>
            </w:pPr>
            <w:r>
              <w:t>.003</w:t>
            </w:r>
          </w:p>
        </w:tc>
      </w:tr>
      <w:tr w:rsidR="0059194F" w14:paraId="7EE68F0F" w14:textId="77777777" w:rsidTr="00647D9C">
        <w:trPr>
          <w:cantSplit/>
        </w:trPr>
        <w:tc>
          <w:tcPr>
            <w:tcW w:w="2537" w:type="dxa"/>
            <w:tcBorders>
              <w:top w:val="nil"/>
              <w:left w:val="nil"/>
              <w:bottom w:val="single" w:sz="4" w:space="0" w:color="auto"/>
              <w:right w:val="nil"/>
            </w:tcBorders>
          </w:tcPr>
          <w:p w14:paraId="0D5CE223" w14:textId="77777777" w:rsidR="0059194F" w:rsidRDefault="0059194F" w:rsidP="0059194F">
            <w:pPr>
              <w:keepNext/>
              <w:keepLines/>
              <w:spacing w:after="120"/>
            </w:pPr>
          </w:p>
        </w:tc>
        <w:tc>
          <w:tcPr>
            <w:tcW w:w="2503" w:type="dxa"/>
            <w:tcBorders>
              <w:top w:val="nil"/>
              <w:left w:val="nil"/>
              <w:bottom w:val="single" w:sz="4" w:space="0" w:color="auto"/>
              <w:right w:val="nil"/>
            </w:tcBorders>
          </w:tcPr>
          <w:p w14:paraId="3F5C02D3" w14:textId="779D5C35" w:rsidR="0059194F" w:rsidRDefault="00647D9C" w:rsidP="00647D9C">
            <w:pPr>
              <w:keepNext/>
              <w:keepLines/>
              <w:spacing w:after="120"/>
              <w:jc w:val="right"/>
            </w:pPr>
            <w:r w:rsidRPr="00647D9C">
              <w:t xml:space="preserve">uncorrected </w:t>
            </w:r>
            <w:r w:rsidRPr="0059194F">
              <w:rPr>
                <w:i/>
                <w:iCs/>
              </w:rPr>
              <w:t>p</w:t>
            </w:r>
          </w:p>
        </w:tc>
        <w:tc>
          <w:tcPr>
            <w:tcW w:w="1080" w:type="dxa"/>
            <w:tcBorders>
              <w:top w:val="nil"/>
              <w:left w:val="nil"/>
              <w:bottom w:val="single" w:sz="4" w:space="0" w:color="auto"/>
              <w:right w:val="nil"/>
            </w:tcBorders>
          </w:tcPr>
          <w:p w14:paraId="47E535A3" w14:textId="754E29E2" w:rsidR="0059194F" w:rsidRDefault="00C05830" w:rsidP="0059194F">
            <w:pPr>
              <w:keepNext/>
              <w:keepLines/>
              <w:spacing w:after="120"/>
              <w:jc w:val="center"/>
            </w:pPr>
            <w:r>
              <w:t>.069</w:t>
            </w:r>
          </w:p>
        </w:tc>
        <w:tc>
          <w:tcPr>
            <w:tcW w:w="1080" w:type="dxa"/>
            <w:tcBorders>
              <w:top w:val="nil"/>
              <w:left w:val="nil"/>
              <w:bottom w:val="single" w:sz="4" w:space="0" w:color="auto"/>
              <w:right w:val="nil"/>
            </w:tcBorders>
          </w:tcPr>
          <w:p w14:paraId="3F479804" w14:textId="1BCEC084" w:rsidR="0059194F" w:rsidRDefault="00C05830" w:rsidP="0059194F">
            <w:pPr>
              <w:keepNext/>
              <w:keepLines/>
              <w:spacing w:after="120"/>
              <w:jc w:val="center"/>
            </w:pPr>
            <w:r>
              <w:t>.189</w:t>
            </w:r>
          </w:p>
        </w:tc>
        <w:tc>
          <w:tcPr>
            <w:tcW w:w="1080" w:type="dxa"/>
            <w:tcBorders>
              <w:top w:val="nil"/>
              <w:left w:val="nil"/>
              <w:bottom w:val="single" w:sz="4" w:space="0" w:color="auto"/>
              <w:right w:val="nil"/>
            </w:tcBorders>
          </w:tcPr>
          <w:p w14:paraId="389F9736" w14:textId="017ACBE3" w:rsidR="0059194F" w:rsidRDefault="00C05830" w:rsidP="0059194F">
            <w:pPr>
              <w:keepNext/>
              <w:keepLines/>
              <w:spacing w:after="120"/>
              <w:jc w:val="center"/>
            </w:pPr>
            <w:r>
              <w:t>.016</w:t>
            </w:r>
          </w:p>
        </w:tc>
        <w:tc>
          <w:tcPr>
            <w:tcW w:w="1080" w:type="dxa"/>
            <w:tcBorders>
              <w:top w:val="nil"/>
              <w:left w:val="nil"/>
              <w:bottom w:val="single" w:sz="4" w:space="0" w:color="auto"/>
              <w:right w:val="nil"/>
            </w:tcBorders>
          </w:tcPr>
          <w:p w14:paraId="5D78D093" w14:textId="364129CD" w:rsidR="0059194F" w:rsidRDefault="00C05830" w:rsidP="0059194F">
            <w:pPr>
              <w:keepNext/>
              <w:keepLines/>
              <w:spacing w:after="120"/>
              <w:jc w:val="center"/>
            </w:pPr>
            <w:r>
              <w:t>.975</w:t>
            </w:r>
          </w:p>
        </w:tc>
      </w:tr>
      <w:tr w:rsidR="0059194F" w14:paraId="04F4F0DB" w14:textId="3E1190E5" w:rsidTr="00647D9C">
        <w:trPr>
          <w:cantSplit/>
        </w:trPr>
        <w:tc>
          <w:tcPr>
            <w:tcW w:w="2537" w:type="dxa"/>
            <w:tcBorders>
              <w:top w:val="single" w:sz="4" w:space="0" w:color="auto"/>
              <w:left w:val="nil"/>
              <w:bottom w:val="nil"/>
              <w:right w:val="nil"/>
            </w:tcBorders>
          </w:tcPr>
          <w:p w14:paraId="35F0A33E" w14:textId="77777777" w:rsidR="0059194F" w:rsidRDefault="0059194F" w:rsidP="0059194F">
            <w:pPr>
              <w:keepNext/>
              <w:keepLines/>
              <w:spacing w:after="120"/>
            </w:pPr>
            <w:r>
              <w:t>In-person</w:t>
            </w:r>
          </w:p>
        </w:tc>
        <w:tc>
          <w:tcPr>
            <w:tcW w:w="2503" w:type="dxa"/>
            <w:tcBorders>
              <w:top w:val="single" w:sz="4" w:space="0" w:color="auto"/>
              <w:left w:val="nil"/>
              <w:bottom w:val="nil"/>
              <w:right w:val="nil"/>
            </w:tcBorders>
          </w:tcPr>
          <w:p w14:paraId="2EC6D1B8" w14:textId="046DC19D" w:rsidR="0059194F" w:rsidRDefault="0059194F" w:rsidP="00647D9C">
            <w:pPr>
              <w:keepNext/>
              <w:keepLines/>
              <w:spacing w:after="120"/>
              <w:jc w:val="right"/>
            </w:pPr>
            <w:r w:rsidRPr="0059194F">
              <w:rPr>
                <w:i/>
                <w:iCs/>
              </w:rPr>
              <w:t>r</w:t>
            </w:r>
          </w:p>
        </w:tc>
        <w:tc>
          <w:tcPr>
            <w:tcW w:w="1080" w:type="dxa"/>
            <w:tcBorders>
              <w:top w:val="single" w:sz="4" w:space="0" w:color="auto"/>
              <w:left w:val="nil"/>
              <w:bottom w:val="nil"/>
              <w:right w:val="nil"/>
            </w:tcBorders>
          </w:tcPr>
          <w:p w14:paraId="6BB34D0C" w14:textId="3EC18125" w:rsidR="0059194F" w:rsidRDefault="00C05830" w:rsidP="0059194F">
            <w:pPr>
              <w:keepNext/>
              <w:keepLines/>
              <w:spacing w:after="120"/>
              <w:jc w:val="center"/>
            </w:pPr>
            <w:r>
              <w:t>-.128</w:t>
            </w:r>
          </w:p>
        </w:tc>
        <w:tc>
          <w:tcPr>
            <w:tcW w:w="1080" w:type="dxa"/>
            <w:tcBorders>
              <w:top w:val="single" w:sz="4" w:space="0" w:color="auto"/>
              <w:left w:val="nil"/>
              <w:bottom w:val="nil"/>
              <w:right w:val="nil"/>
            </w:tcBorders>
          </w:tcPr>
          <w:p w14:paraId="589FC928" w14:textId="5EA1E51A" w:rsidR="0059194F" w:rsidRDefault="00C05830" w:rsidP="0059194F">
            <w:pPr>
              <w:keepNext/>
              <w:keepLines/>
              <w:spacing w:after="120"/>
              <w:jc w:val="center"/>
            </w:pPr>
            <w:r>
              <w:t>.080</w:t>
            </w:r>
          </w:p>
        </w:tc>
        <w:tc>
          <w:tcPr>
            <w:tcW w:w="1080" w:type="dxa"/>
            <w:tcBorders>
              <w:top w:val="single" w:sz="4" w:space="0" w:color="auto"/>
              <w:left w:val="nil"/>
              <w:bottom w:val="nil"/>
              <w:right w:val="nil"/>
            </w:tcBorders>
          </w:tcPr>
          <w:p w14:paraId="04604A81" w14:textId="59BC28EF" w:rsidR="0059194F" w:rsidRDefault="00C05830" w:rsidP="0059194F">
            <w:pPr>
              <w:keepNext/>
              <w:keepLines/>
              <w:spacing w:after="120"/>
              <w:jc w:val="center"/>
            </w:pPr>
            <w:r>
              <w:t>.000</w:t>
            </w:r>
          </w:p>
        </w:tc>
        <w:tc>
          <w:tcPr>
            <w:tcW w:w="1080" w:type="dxa"/>
            <w:tcBorders>
              <w:top w:val="single" w:sz="4" w:space="0" w:color="auto"/>
              <w:left w:val="nil"/>
              <w:bottom w:val="nil"/>
              <w:right w:val="nil"/>
            </w:tcBorders>
          </w:tcPr>
          <w:p w14:paraId="42F076FC" w14:textId="5C8D56C8" w:rsidR="0059194F" w:rsidRDefault="00C05830" w:rsidP="0059194F">
            <w:pPr>
              <w:keepNext/>
              <w:keepLines/>
              <w:spacing w:after="120"/>
              <w:jc w:val="center"/>
            </w:pPr>
            <w:r>
              <w:t>.175</w:t>
            </w:r>
          </w:p>
        </w:tc>
      </w:tr>
      <w:tr w:rsidR="0059194F" w14:paraId="3FC568F6" w14:textId="77777777" w:rsidTr="00647D9C">
        <w:trPr>
          <w:cantSplit/>
        </w:trPr>
        <w:tc>
          <w:tcPr>
            <w:tcW w:w="2537" w:type="dxa"/>
            <w:tcBorders>
              <w:top w:val="nil"/>
              <w:left w:val="nil"/>
              <w:bottom w:val="single" w:sz="4" w:space="0" w:color="auto"/>
              <w:right w:val="nil"/>
            </w:tcBorders>
          </w:tcPr>
          <w:p w14:paraId="5ACF69F8" w14:textId="77777777" w:rsidR="0059194F" w:rsidRDefault="0059194F" w:rsidP="0059194F">
            <w:pPr>
              <w:keepNext/>
              <w:keepLines/>
              <w:spacing w:after="120"/>
            </w:pPr>
          </w:p>
        </w:tc>
        <w:tc>
          <w:tcPr>
            <w:tcW w:w="2503" w:type="dxa"/>
            <w:tcBorders>
              <w:top w:val="nil"/>
              <w:left w:val="nil"/>
              <w:bottom w:val="single" w:sz="4" w:space="0" w:color="auto"/>
              <w:right w:val="nil"/>
            </w:tcBorders>
          </w:tcPr>
          <w:p w14:paraId="6221439B" w14:textId="450270FA" w:rsidR="0059194F" w:rsidRDefault="00647D9C" w:rsidP="00647D9C">
            <w:pPr>
              <w:keepNext/>
              <w:keepLines/>
              <w:spacing w:after="120"/>
              <w:jc w:val="right"/>
            </w:pPr>
            <w:r w:rsidRPr="00647D9C">
              <w:t xml:space="preserve">uncorrected </w:t>
            </w:r>
            <w:r w:rsidRPr="0059194F">
              <w:rPr>
                <w:i/>
                <w:iCs/>
              </w:rPr>
              <w:t>p</w:t>
            </w:r>
          </w:p>
        </w:tc>
        <w:tc>
          <w:tcPr>
            <w:tcW w:w="1080" w:type="dxa"/>
            <w:tcBorders>
              <w:top w:val="nil"/>
              <w:left w:val="nil"/>
              <w:bottom w:val="single" w:sz="4" w:space="0" w:color="auto"/>
              <w:right w:val="nil"/>
            </w:tcBorders>
          </w:tcPr>
          <w:p w14:paraId="312B7C75" w14:textId="3878917E" w:rsidR="0059194F" w:rsidRDefault="00C05830" w:rsidP="0059194F">
            <w:pPr>
              <w:keepNext/>
              <w:keepLines/>
              <w:spacing w:after="120"/>
              <w:jc w:val="center"/>
            </w:pPr>
            <w:r>
              <w:t>.116</w:t>
            </w:r>
          </w:p>
        </w:tc>
        <w:tc>
          <w:tcPr>
            <w:tcW w:w="1080" w:type="dxa"/>
            <w:tcBorders>
              <w:top w:val="nil"/>
              <w:left w:val="nil"/>
              <w:bottom w:val="single" w:sz="4" w:space="0" w:color="auto"/>
              <w:right w:val="nil"/>
            </w:tcBorders>
          </w:tcPr>
          <w:p w14:paraId="6C52649A" w14:textId="264CA34C" w:rsidR="0059194F" w:rsidRDefault="00C05830" w:rsidP="0059194F">
            <w:pPr>
              <w:keepNext/>
              <w:keepLines/>
              <w:spacing w:after="120"/>
              <w:jc w:val="center"/>
            </w:pPr>
            <w:r>
              <w:t>.329</w:t>
            </w:r>
          </w:p>
        </w:tc>
        <w:tc>
          <w:tcPr>
            <w:tcW w:w="1080" w:type="dxa"/>
            <w:tcBorders>
              <w:top w:val="nil"/>
              <w:left w:val="nil"/>
              <w:bottom w:val="single" w:sz="4" w:space="0" w:color="auto"/>
              <w:right w:val="nil"/>
            </w:tcBorders>
          </w:tcPr>
          <w:p w14:paraId="2FEA4874" w14:textId="63D704AA" w:rsidR="0059194F" w:rsidRDefault="00C05830" w:rsidP="0059194F">
            <w:pPr>
              <w:keepNext/>
              <w:keepLines/>
              <w:spacing w:after="120"/>
              <w:jc w:val="center"/>
            </w:pPr>
            <w:r>
              <w:t>.997</w:t>
            </w:r>
          </w:p>
        </w:tc>
        <w:tc>
          <w:tcPr>
            <w:tcW w:w="1080" w:type="dxa"/>
            <w:tcBorders>
              <w:top w:val="nil"/>
              <w:left w:val="nil"/>
              <w:bottom w:val="single" w:sz="4" w:space="0" w:color="auto"/>
              <w:right w:val="nil"/>
            </w:tcBorders>
          </w:tcPr>
          <w:p w14:paraId="49EA622E" w14:textId="4D902736" w:rsidR="0059194F" w:rsidRDefault="00C05830" w:rsidP="0059194F">
            <w:pPr>
              <w:keepNext/>
              <w:keepLines/>
              <w:spacing w:after="120"/>
              <w:jc w:val="center"/>
            </w:pPr>
            <w:r>
              <w:t>.031</w:t>
            </w:r>
          </w:p>
        </w:tc>
      </w:tr>
    </w:tbl>
    <w:p w14:paraId="37E1E7E7" w14:textId="3BD139AC" w:rsidR="0059194F" w:rsidRDefault="0059194F" w:rsidP="0059194F">
      <w:pPr>
        <w:spacing w:line="480" w:lineRule="auto"/>
      </w:pPr>
      <w:r>
        <w:rPr>
          <w:i/>
        </w:rPr>
        <w:t>Note</w:t>
      </w:r>
      <w:r w:rsidRPr="00BB7C43">
        <w:rPr>
          <w:i/>
        </w:rPr>
        <w:t>.</w:t>
      </w:r>
      <w:r>
        <w:t xml:space="preserve"> </w:t>
      </w:r>
      <w:r w:rsidR="00647D9C">
        <w:t xml:space="preserve">With adjustment for multiple testing, the threshold for significance was </w:t>
      </w:r>
      <w:r w:rsidR="00647D9C" w:rsidRPr="00647D9C">
        <w:rPr>
          <w:i/>
          <w:iCs/>
        </w:rPr>
        <w:t>r</w:t>
      </w:r>
      <w:r w:rsidR="00647D9C">
        <w:t xml:space="preserve"> &gt; .2</w:t>
      </w:r>
      <w:r w:rsidR="005570EB">
        <w:t>4</w:t>
      </w:r>
      <w:r w:rsidR="00647D9C">
        <w:t xml:space="preserve">, </w:t>
      </w:r>
      <w:r w:rsidR="00647D9C" w:rsidRPr="00647D9C">
        <w:rPr>
          <w:i/>
          <w:iCs/>
        </w:rPr>
        <w:t>p</w:t>
      </w:r>
      <w:r w:rsidR="00647D9C">
        <w:t xml:space="preserve"> &lt; .002. </w:t>
      </w:r>
      <w:r w:rsidR="00187E89">
        <w:t xml:space="preserve">Therefore, none of these results met our corrected threshold for significance. </w:t>
      </w:r>
      <w:r>
        <w:t xml:space="preserve">PSS = Perceived </w:t>
      </w:r>
      <w:r>
        <w:lastRenderedPageBreak/>
        <w:t>Stress Scale; BDI-II = Beck Depression Inventory-II; STAI = State-Trait Anxiety Inventory;</w:t>
      </w:r>
      <w:r w:rsidRPr="005D51BB">
        <w:t xml:space="preserve"> </w:t>
      </w:r>
      <w:r>
        <w:t>SHAI = Short Health Anxiety Inventory.</w:t>
      </w:r>
    </w:p>
    <w:p w14:paraId="17C56695" w14:textId="7386DBDB" w:rsidR="00387209" w:rsidRDefault="00387209" w:rsidP="00365191">
      <w:pPr>
        <w:pStyle w:val="NormalWeb"/>
        <w:spacing w:before="0" w:beforeAutospacing="0" w:after="0" w:afterAutospacing="0" w:line="480" w:lineRule="auto"/>
        <w:jc w:val="both"/>
        <w:rPr>
          <w:rFonts w:cs="Calibri"/>
          <w:color w:val="000000"/>
        </w:rPr>
      </w:pPr>
    </w:p>
    <w:p w14:paraId="348493DC" w14:textId="77777777" w:rsidR="00387209" w:rsidRDefault="00387209" w:rsidP="00586A43">
      <w:pPr>
        <w:pStyle w:val="NormalWeb"/>
        <w:spacing w:before="0" w:beforeAutospacing="0" w:after="0" w:afterAutospacing="0" w:line="480" w:lineRule="auto"/>
        <w:ind w:firstLine="720"/>
        <w:jc w:val="both"/>
        <w:rPr>
          <w:rFonts w:asciiTheme="minorHAnsi" w:hAnsiTheme="minorHAnsi"/>
        </w:rPr>
      </w:pPr>
    </w:p>
    <w:p w14:paraId="14E890AE" w14:textId="18F97455" w:rsidR="0067230E" w:rsidRPr="002E1CD8" w:rsidRDefault="0067230E" w:rsidP="002E1CD8">
      <w:pPr>
        <w:spacing w:line="480" w:lineRule="auto"/>
      </w:pPr>
      <w:r>
        <w:rPr>
          <w:b/>
        </w:rPr>
        <w:br w:type="page"/>
      </w:r>
    </w:p>
    <w:p w14:paraId="2CC1040D" w14:textId="590E4E8E" w:rsidR="00276849" w:rsidRPr="0067230E" w:rsidRDefault="0067230E" w:rsidP="0067230E">
      <w:pPr>
        <w:spacing w:line="480" w:lineRule="auto"/>
        <w:jc w:val="center"/>
        <w:rPr>
          <w:b/>
        </w:rPr>
      </w:pPr>
      <w:r w:rsidRPr="0040282A">
        <w:rPr>
          <w:b/>
        </w:rPr>
        <w:lastRenderedPageBreak/>
        <w:t>References</w:t>
      </w:r>
    </w:p>
    <w:p w14:paraId="50BDA2F5" w14:textId="77777777" w:rsidR="00276849" w:rsidRPr="0067230E" w:rsidRDefault="00276849" w:rsidP="00276849">
      <w:pPr>
        <w:pStyle w:val="Normal1"/>
        <w:spacing w:line="480" w:lineRule="auto"/>
        <w:ind w:left="720" w:hanging="720"/>
        <w:rPr>
          <w:rFonts w:ascii="Calibri" w:eastAsia="Calibri" w:hAnsi="Calibri" w:cs="Calibri"/>
        </w:rPr>
      </w:pPr>
      <w:r w:rsidRPr="0067230E">
        <w:rPr>
          <w:rFonts w:ascii="Calibri" w:eastAsia="Calibri" w:hAnsi="Calibri" w:cs="Calibri"/>
        </w:rPr>
        <w:t xml:space="preserve">Carver, C. S. (1997). You want to measure coping but your protocol’s too long: Consider the Brief COPE. </w:t>
      </w:r>
      <w:r w:rsidRPr="0067230E">
        <w:rPr>
          <w:rFonts w:ascii="Calibri" w:eastAsia="Calibri" w:hAnsi="Calibri" w:cs="Calibri"/>
          <w:i/>
          <w:iCs/>
        </w:rPr>
        <w:t>International Journal of Behavioral Medicine, 4</w:t>
      </w:r>
      <w:r w:rsidRPr="0067230E">
        <w:rPr>
          <w:rFonts w:ascii="Calibri" w:eastAsia="Calibri" w:hAnsi="Calibri" w:cs="Calibri"/>
        </w:rPr>
        <w:t xml:space="preserve">, 92-100. </w:t>
      </w:r>
      <w:hyperlink r:id="rId6" w:history="1">
        <w:r w:rsidRPr="0067230E">
          <w:rPr>
            <w:rStyle w:val="Hyperlink"/>
            <w:rFonts w:ascii="Calibri" w:eastAsia="Calibri" w:hAnsi="Calibri" w:cs="Calibri"/>
          </w:rPr>
          <w:t>https://doi.org/10.1207/s15327558ijbm0401_6</w:t>
        </w:r>
      </w:hyperlink>
      <w:r w:rsidRPr="0067230E">
        <w:rPr>
          <w:rFonts w:ascii="Calibri" w:eastAsia="Calibri" w:hAnsi="Calibri" w:cs="Calibri"/>
        </w:rPr>
        <w:t xml:space="preserve"> </w:t>
      </w:r>
    </w:p>
    <w:p w14:paraId="2AF64472" w14:textId="77777777" w:rsidR="002376D0" w:rsidRDefault="002376D0" w:rsidP="002376D0">
      <w:pPr>
        <w:pStyle w:val="Normal1"/>
        <w:spacing w:line="480" w:lineRule="auto"/>
        <w:ind w:left="720" w:hanging="720"/>
        <w:rPr>
          <w:rFonts w:ascii="Calibri" w:eastAsia="Calibri" w:hAnsi="Calibri" w:cs="Calibri"/>
        </w:rPr>
      </w:pPr>
      <w:r>
        <w:rPr>
          <w:rFonts w:ascii="Calibri" w:eastAsia="Calibri" w:hAnsi="Calibri" w:cs="Calibri"/>
        </w:rPr>
        <w:t xml:space="preserve">Chirikov, I., Soria, K. M., Horgos, B., &amp; Jones-White, D. (2020). Undergraduate and graduate students’ mental health during the COVID-19 pandemic. </w:t>
      </w:r>
      <w:r w:rsidRPr="0036777F">
        <w:rPr>
          <w:rFonts w:ascii="Calibri" w:eastAsia="Calibri" w:hAnsi="Calibri" w:cs="Calibri"/>
          <w:i/>
          <w:iCs/>
        </w:rPr>
        <w:t>SERU Consortium Reports</w:t>
      </w:r>
      <w:r>
        <w:rPr>
          <w:rFonts w:ascii="Calibri" w:eastAsia="Calibri" w:hAnsi="Calibri" w:cs="Calibri"/>
        </w:rPr>
        <w:t xml:space="preserve">. </w:t>
      </w:r>
      <w:hyperlink r:id="rId7" w:history="1">
        <w:r w:rsidRPr="00670CA6">
          <w:rPr>
            <w:rStyle w:val="Hyperlink"/>
            <w:rFonts w:ascii="Calibri" w:eastAsia="Calibri" w:hAnsi="Calibri" w:cs="Calibri"/>
          </w:rPr>
          <w:t>https://escholarship.org/uc/item/80k5d5hw</w:t>
        </w:r>
      </w:hyperlink>
      <w:r>
        <w:rPr>
          <w:rFonts w:ascii="Calibri" w:eastAsia="Calibri" w:hAnsi="Calibri" w:cs="Calibri"/>
        </w:rPr>
        <w:t xml:space="preserve"> </w:t>
      </w:r>
    </w:p>
    <w:p w14:paraId="50C08931" w14:textId="77777777" w:rsidR="00DA2821" w:rsidRPr="00531C33" w:rsidRDefault="00DA2821" w:rsidP="00DA2821">
      <w:pPr>
        <w:pStyle w:val="Normal1"/>
        <w:spacing w:line="480" w:lineRule="auto"/>
        <w:ind w:left="720" w:hanging="720"/>
        <w:rPr>
          <w:rFonts w:ascii="Calibri" w:eastAsia="Calibri" w:hAnsi="Calibri" w:cs="Calibri"/>
        </w:rPr>
      </w:pPr>
      <w:r>
        <w:rPr>
          <w:rFonts w:ascii="Calibri" w:eastAsia="Calibri" w:hAnsi="Calibri" w:cs="Calibri"/>
        </w:rPr>
        <w:t xml:space="preserve">Cohen, S. (1988). Perceived stress in a probability sample of the United States. In S. Spacapan &amp; S. Oskamp (Eds.), </w:t>
      </w:r>
      <w:r>
        <w:rPr>
          <w:rFonts w:ascii="Calibri" w:eastAsia="Calibri" w:hAnsi="Calibri" w:cs="Calibri"/>
          <w:i/>
          <w:iCs/>
        </w:rPr>
        <w:t>The Claremont Symposium on Applied Social Psychology: The social psychology of health</w:t>
      </w:r>
      <w:r>
        <w:rPr>
          <w:rFonts w:ascii="Calibri" w:eastAsia="Calibri" w:hAnsi="Calibri" w:cs="Calibri"/>
        </w:rPr>
        <w:t xml:space="preserve"> (pp. 31-67). Sage Publications, Inc.</w:t>
      </w:r>
    </w:p>
    <w:p w14:paraId="2BC0760C" w14:textId="77777777" w:rsidR="00276849" w:rsidRPr="0067230E" w:rsidRDefault="00276849" w:rsidP="00276849">
      <w:pPr>
        <w:pStyle w:val="Normal1"/>
        <w:spacing w:line="480" w:lineRule="auto"/>
        <w:ind w:left="720" w:hanging="720"/>
        <w:rPr>
          <w:rFonts w:ascii="Calibri" w:eastAsia="Calibri" w:hAnsi="Calibri" w:cs="Calibri"/>
        </w:rPr>
      </w:pPr>
      <w:r w:rsidRPr="0067230E">
        <w:rPr>
          <w:rFonts w:ascii="Calibri" w:eastAsia="Calibri" w:hAnsi="Calibri" w:cs="Calibri"/>
        </w:rPr>
        <w:t xml:space="preserve">Galante, J., Galante, I., Bekkers, M.-J., &amp; Gallacher, J. (2014). Effects of kindness-based meditation on health and well-being: A systematic review and meta-analysis. </w:t>
      </w:r>
      <w:r w:rsidRPr="0067230E">
        <w:rPr>
          <w:rFonts w:ascii="Calibri" w:eastAsia="Calibri" w:hAnsi="Calibri" w:cs="Calibri"/>
          <w:i/>
          <w:iCs/>
        </w:rPr>
        <w:t>Journal of Consulting and Clinical Psychology, 82</w:t>
      </w:r>
      <w:r w:rsidRPr="0067230E">
        <w:rPr>
          <w:rFonts w:ascii="Calibri" w:eastAsia="Calibri" w:hAnsi="Calibri" w:cs="Calibri"/>
        </w:rPr>
        <w:t xml:space="preserve">(6), 1101-1114. </w:t>
      </w:r>
      <w:hyperlink r:id="rId8" w:history="1">
        <w:r w:rsidRPr="0067230E">
          <w:rPr>
            <w:rStyle w:val="Hyperlink"/>
            <w:rFonts w:ascii="Calibri" w:eastAsia="Calibri" w:hAnsi="Calibri" w:cs="Calibri"/>
          </w:rPr>
          <w:t>https://doi.org/10.1037/a0037249</w:t>
        </w:r>
      </w:hyperlink>
      <w:r w:rsidRPr="0067230E">
        <w:rPr>
          <w:rFonts w:ascii="Calibri" w:eastAsia="Calibri" w:hAnsi="Calibri" w:cs="Calibri"/>
        </w:rPr>
        <w:t xml:space="preserve"> </w:t>
      </w:r>
    </w:p>
    <w:p w14:paraId="1365B6D2" w14:textId="77777777" w:rsidR="00276849" w:rsidRPr="0067230E" w:rsidRDefault="00276849" w:rsidP="00276849">
      <w:pPr>
        <w:pStyle w:val="Normal1"/>
        <w:spacing w:line="480" w:lineRule="auto"/>
        <w:ind w:left="720" w:hanging="720"/>
        <w:rPr>
          <w:rFonts w:ascii="Calibri" w:eastAsia="Calibri" w:hAnsi="Calibri" w:cs="Calibri"/>
        </w:rPr>
      </w:pPr>
      <w:r w:rsidRPr="0067230E">
        <w:rPr>
          <w:rFonts w:ascii="Calibri" w:eastAsia="Calibri" w:hAnsi="Calibri" w:cs="Calibri"/>
        </w:rPr>
        <w:t xml:space="preserve">Goyal, M., Singh, S., Sibinga, E. M. S., Gould, N. F., Rowland-Seymour, A., Sharma, R., Berger, Z., Sleicher, D., Maron, D. D., Shihab, H. M., Ranasinghe, P. D., Linn, S., Saha, S., Bass, E. B., &amp; Haythornthwaite, J. A. (2014). Meditation programs for psychological stress and well-being: A systematic review and meta-analysis. </w:t>
      </w:r>
      <w:r w:rsidRPr="0067230E">
        <w:rPr>
          <w:rFonts w:ascii="Calibri" w:eastAsia="Calibri" w:hAnsi="Calibri" w:cs="Calibri"/>
          <w:i/>
          <w:iCs/>
        </w:rPr>
        <w:t>JAMA International Medicine, 174</w:t>
      </w:r>
      <w:r w:rsidRPr="0067230E">
        <w:rPr>
          <w:rFonts w:ascii="Calibri" w:eastAsia="Calibri" w:hAnsi="Calibri" w:cs="Calibri"/>
        </w:rPr>
        <w:t xml:space="preserve">(3), 357-368. </w:t>
      </w:r>
      <w:hyperlink r:id="rId9" w:history="1">
        <w:r w:rsidRPr="0067230E">
          <w:rPr>
            <w:rStyle w:val="Hyperlink"/>
            <w:rFonts w:ascii="Calibri" w:eastAsia="Calibri" w:hAnsi="Calibri" w:cs="Calibri"/>
          </w:rPr>
          <w:t>https://doi.org/10.1001/jamainternmed.2013.13018</w:t>
        </w:r>
      </w:hyperlink>
      <w:r w:rsidRPr="0067230E">
        <w:rPr>
          <w:rFonts w:ascii="Calibri" w:eastAsia="Calibri" w:hAnsi="Calibri" w:cs="Calibri"/>
        </w:rPr>
        <w:t xml:space="preserve"> </w:t>
      </w:r>
    </w:p>
    <w:p w14:paraId="66DEA7A0" w14:textId="77777777" w:rsidR="0067230E" w:rsidRPr="0067230E" w:rsidRDefault="0067230E" w:rsidP="0067230E">
      <w:pPr>
        <w:pStyle w:val="Normal1"/>
        <w:spacing w:line="480" w:lineRule="auto"/>
        <w:ind w:left="720" w:hanging="720"/>
        <w:rPr>
          <w:rFonts w:ascii="Calibri" w:eastAsia="Calibri" w:hAnsi="Calibri" w:cs="Calibri"/>
        </w:rPr>
      </w:pPr>
      <w:r w:rsidRPr="0067230E">
        <w:rPr>
          <w:rFonts w:ascii="Calibri" w:eastAsia="Calibri" w:hAnsi="Calibri" w:cs="Calibri"/>
        </w:rPr>
        <w:t xml:space="preserve">Gratz, K. L., &amp; Roemer, L. (2004). Multidimensional assessment of emotion regulation and dysregulation: Development, factor structure, and initial validation of the difficulties in emotion regulation scale. </w:t>
      </w:r>
      <w:r w:rsidRPr="0067230E">
        <w:rPr>
          <w:rFonts w:ascii="Calibri" w:eastAsia="Calibri" w:hAnsi="Calibri" w:cs="Calibri"/>
          <w:i/>
          <w:iCs/>
        </w:rPr>
        <w:t>Journal of Psychopathology and Behavioral Assessment, 26</w:t>
      </w:r>
      <w:r w:rsidRPr="0067230E">
        <w:rPr>
          <w:rFonts w:ascii="Calibri" w:eastAsia="Calibri" w:hAnsi="Calibri" w:cs="Calibri"/>
        </w:rPr>
        <w:t xml:space="preserve">, 41-54. </w:t>
      </w:r>
      <w:hyperlink r:id="rId10" w:history="1">
        <w:r w:rsidRPr="0067230E">
          <w:rPr>
            <w:rStyle w:val="Hyperlink"/>
            <w:rFonts w:ascii="Calibri" w:eastAsia="Calibri" w:hAnsi="Calibri" w:cs="Calibri"/>
          </w:rPr>
          <w:t>https://doi.org/10.1023/B:JOBA.0000007455.08539.94</w:t>
        </w:r>
      </w:hyperlink>
      <w:r w:rsidRPr="0067230E">
        <w:rPr>
          <w:rFonts w:ascii="Calibri" w:eastAsia="Calibri" w:hAnsi="Calibri" w:cs="Calibri"/>
        </w:rPr>
        <w:t xml:space="preserve"> </w:t>
      </w:r>
    </w:p>
    <w:p w14:paraId="66E0A7A9" w14:textId="77777777" w:rsidR="00276849" w:rsidRPr="0067230E" w:rsidRDefault="00276849" w:rsidP="00276849">
      <w:pPr>
        <w:pStyle w:val="Normal1"/>
        <w:spacing w:line="480" w:lineRule="auto"/>
        <w:ind w:left="720" w:hanging="720"/>
        <w:rPr>
          <w:rFonts w:ascii="Calibri" w:eastAsia="Calibri" w:hAnsi="Calibri" w:cs="Calibri"/>
        </w:rPr>
      </w:pPr>
      <w:r w:rsidRPr="0067230E">
        <w:rPr>
          <w:rFonts w:ascii="Calibri" w:eastAsia="Calibri" w:hAnsi="Calibri" w:cs="Calibri"/>
        </w:rPr>
        <w:lastRenderedPageBreak/>
        <w:t xml:space="preserve">Gross, J. J. (2002). Emotion regulation: Affective, cognitive, and social consequences. </w:t>
      </w:r>
      <w:r w:rsidRPr="0067230E">
        <w:rPr>
          <w:rFonts w:ascii="Calibri" w:eastAsia="Calibri" w:hAnsi="Calibri" w:cs="Calibri"/>
          <w:i/>
          <w:iCs/>
        </w:rPr>
        <w:t>Psychophysiology, 39</w:t>
      </w:r>
      <w:r w:rsidRPr="0067230E">
        <w:rPr>
          <w:rFonts w:ascii="Calibri" w:eastAsia="Calibri" w:hAnsi="Calibri" w:cs="Calibri"/>
        </w:rPr>
        <w:t xml:space="preserve">(3), 281-291. </w:t>
      </w:r>
      <w:hyperlink r:id="rId11" w:history="1">
        <w:r w:rsidRPr="0067230E">
          <w:rPr>
            <w:rStyle w:val="Hyperlink"/>
            <w:rFonts w:ascii="Calibri" w:eastAsia="Calibri" w:hAnsi="Calibri" w:cs="Calibri"/>
          </w:rPr>
          <w:t>https://doi.org/10.1017/S0048577201393198</w:t>
        </w:r>
      </w:hyperlink>
      <w:r w:rsidRPr="0067230E">
        <w:rPr>
          <w:rFonts w:ascii="Calibri" w:eastAsia="Calibri" w:hAnsi="Calibri" w:cs="Calibri"/>
        </w:rPr>
        <w:t xml:space="preserve"> </w:t>
      </w:r>
    </w:p>
    <w:p w14:paraId="1999E2D4" w14:textId="77777777" w:rsidR="00276849" w:rsidRPr="0067230E" w:rsidRDefault="00276849" w:rsidP="00276849">
      <w:pPr>
        <w:pStyle w:val="Normal1"/>
        <w:spacing w:line="480" w:lineRule="auto"/>
        <w:ind w:left="720" w:hanging="720"/>
        <w:rPr>
          <w:rFonts w:ascii="Calibri" w:eastAsia="Calibri" w:hAnsi="Calibri" w:cs="Calibri"/>
        </w:rPr>
      </w:pPr>
      <w:r w:rsidRPr="0067230E">
        <w:rPr>
          <w:rFonts w:ascii="Calibri" w:eastAsia="Calibri" w:hAnsi="Calibri" w:cs="Calibri"/>
        </w:rPr>
        <w:t xml:space="preserve">Gross, J. J., &amp; John, O. P. (2003). Individual differences in two emotion regulation processes: Implications for affect, relationships, and well-being. </w:t>
      </w:r>
      <w:r w:rsidRPr="0067230E">
        <w:rPr>
          <w:rFonts w:ascii="Calibri" w:eastAsia="Calibri" w:hAnsi="Calibri" w:cs="Calibri"/>
          <w:i/>
        </w:rPr>
        <w:t>Journal of Personality and Social Psychology, 85</w:t>
      </w:r>
      <w:r w:rsidRPr="0067230E">
        <w:rPr>
          <w:rFonts w:ascii="Calibri" w:eastAsia="Calibri" w:hAnsi="Calibri" w:cs="Calibri"/>
        </w:rPr>
        <w:t xml:space="preserve">, 348-362. </w:t>
      </w:r>
      <w:hyperlink r:id="rId12" w:history="1">
        <w:r w:rsidRPr="0067230E">
          <w:rPr>
            <w:rStyle w:val="Hyperlink"/>
            <w:rFonts w:ascii="Calibri" w:eastAsia="Calibri" w:hAnsi="Calibri" w:cs="Calibri"/>
          </w:rPr>
          <w:t>https://doi.org/10.1037/0022-3514.85.2.348</w:t>
        </w:r>
      </w:hyperlink>
      <w:r w:rsidRPr="0067230E">
        <w:rPr>
          <w:rFonts w:ascii="Calibri" w:eastAsia="Calibri" w:hAnsi="Calibri" w:cs="Calibri"/>
        </w:rPr>
        <w:t xml:space="preserve"> </w:t>
      </w:r>
    </w:p>
    <w:p w14:paraId="3181730E" w14:textId="77777777" w:rsidR="0067230E" w:rsidRPr="0067230E" w:rsidRDefault="0067230E" w:rsidP="0067230E">
      <w:pPr>
        <w:pStyle w:val="Normal1"/>
        <w:spacing w:line="480" w:lineRule="auto"/>
        <w:ind w:left="720" w:hanging="720"/>
        <w:rPr>
          <w:rFonts w:ascii="Calibri" w:eastAsia="Calibri" w:hAnsi="Calibri" w:cs="Calibri"/>
        </w:rPr>
      </w:pPr>
      <w:r w:rsidRPr="0067230E">
        <w:rPr>
          <w:rFonts w:ascii="Calibri" w:eastAsia="Calibri" w:hAnsi="Calibri" w:cs="Calibri"/>
        </w:rPr>
        <w:t xml:space="preserve">Gross, J. J., Richards, J. M., &amp; John, O. P. (2006). Emotion regulation in everyday life. In D. K. Snyder, J. Simpson, &amp; J. N. Hughes (Eds.), </w:t>
      </w:r>
      <w:r w:rsidRPr="0067230E">
        <w:rPr>
          <w:rFonts w:ascii="Calibri" w:eastAsia="Calibri" w:hAnsi="Calibri" w:cs="Calibri"/>
          <w:i/>
          <w:iCs/>
        </w:rPr>
        <w:t xml:space="preserve">Emotion regulation in couples and families: Pathways to dysfunction and health </w:t>
      </w:r>
      <w:r w:rsidRPr="0067230E">
        <w:rPr>
          <w:rFonts w:ascii="Calibri" w:eastAsia="Calibri" w:hAnsi="Calibri" w:cs="Calibri"/>
        </w:rPr>
        <w:t xml:space="preserve">(pp. 13-35). American Psychological Association. </w:t>
      </w:r>
      <w:hyperlink r:id="rId13" w:history="1">
        <w:r w:rsidRPr="0067230E">
          <w:rPr>
            <w:rStyle w:val="Hyperlink"/>
            <w:rFonts w:ascii="Calibri" w:eastAsia="Calibri" w:hAnsi="Calibri" w:cs="Calibri"/>
          </w:rPr>
          <w:t>https://doi.org/10.1037/11468-001</w:t>
        </w:r>
      </w:hyperlink>
      <w:r w:rsidRPr="0067230E">
        <w:rPr>
          <w:rFonts w:ascii="Calibri" w:eastAsia="Calibri" w:hAnsi="Calibri" w:cs="Calibri"/>
        </w:rPr>
        <w:t xml:space="preserve">  </w:t>
      </w:r>
    </w:p>
    <w:p w14:paraId="5ADF4A5F" w14:textId="77777777" w:rsidR="0027673E" w:rsidRPr="008A7F1A" w:rsidRDefault="0027673E" w:rsidP="0027673E">
      <w:pPr>
        <w:pStyle w:val="Normal1"/>
        <w:spacing w:line="480" w:lineRule="auto"/>
        <w:ind w:left="720" w:hanging="720"/>
        <w:rPr>
          <w:rFonts w:asciiTheme="minorHAnsi" w:hAnsiTheme="minorHAnsi" w:cstheme="minorHAnsi"/>
        </w:rPr>
      </w:pPr>
      <w:r>
        <w:rPr>
          <w:rFonts w:asciiTheme="minorHAnsi" w:hAnsiTheme="minorHAnsi" w:cstheme="minorHAnsi"/>
        </w:rPr>
        <w:t xml:space="preserve">Leigh-Hunt, N., Bagguley, D., Bash, K., Turner, V., Turnbull, S., Valtorta, N., &amp; Caan, W. (2017). An overview of systematic reviews on the public health consequences of social isolation and loneliness. </w:t>
      </w:r>
      <w:r>
        <w:rPr>
          <w:rFonts w:asciiTheme="minorHAnsi" w:hAnsiTheme="minorHAnsi" w:cstheme="minorHAnsi"/>
          <w:i/>
          <w:iCs/>
        </w:rPr>
        <w:t>Public Health, 152</w:t>
      </w:r>
      <w:r>
        <w:rPr>
          <w:rFonts w:asciiTheme="minorHAnsi" w:hAnsiTheme="minorHAnsi" w:cstheme="minorHAnsi"/>
        </w:rPr>
        <w:t xml:space="preserve">, 157-171. </w:t>
      </w:r>
      <w:hyperlink r:id="rId14" w:history="1">
        <w:r w:rsidRPr="00C36162">
          <w:rPr>
            <w:rStyle w:val="Hyperlink"/>
            <w:rFonts w:asciiTheme="minorHAnsi" w:hAnsiTheme="minorHAnsi" w:cstheme="minorHAnsi"/>
          </w:rPr>
          <w:t>https://doi.org/10.1016/j.puhe.2017.07.035</w:t>
        </w:r>
      </w:hyperlink>
      <w:r>
        <w:rPr>
          <w:rFonts w:asciiTheme="minorHAnsi" w:hAnsiTheme="minorHAnsi" w:cstheme="minorHAnsi"/>
        </w:rPr>
        <w:t xml:space="preserve"> </w:t>
      </w:r>
    </w:p>
    <w:p w14:paraId="6586BF91" w14:textId="77777777" w:rsidR="0027673E" w:rsidRPr="003414EC" w:rsidRDefault="0027673E" w:rsidP="0027673E">
      <w:pPr>
        <w:pStyle w:val="Normal1"/>
        <w:spacing w:line="480" w:lineRule="auto"/>
        <w:ind w:left="720" w:hanging="720"/>
        <w:rPr>
          <w:rFonts w:ascii="Calibri" w:eastAsia="Calibri" w:hAnsi="Calibri" w:cs="Calibri"/>
        </w:rPr>
      </w:pPr>
      <w:r>
        <w:rPr>
          <w:rFonts w:ascii="Calibri" w:eastAsia="Calibri" w:hAnsi="Calibri" w:cs="Calibri"/>
        </w:rPr>
        <w:t xml:space="preserve">Rohde, N., D’Ambrosio, C., Tang, K. K., &amp; Rao, P. (2016). Estimating the mental health effects of social isolation. </w:t>
      </w:r>
      <w:r>
        <w:rPr>
          <w:rFonts w:ascii="Calibri" w:eastAsia="Calibri" w:hAnsi="Calibri" w:cs="Calibri"/>
          <w:i/>
          <w:iCs/>
        </w:rPr>
        <w:t>Applied Research in Quality of Life, 11</w:t>
      </w:r>
      <w:r>
        <w:rPr>
          <w:rFonts w:ascii="Calibri" w:eastAsia="Calibri" w:hAnsi="Calibri" w:cs="Calibri"/>
        </w:rPr>
        <w:t xml:space="preserve">, 853-869. </w:t>
      </w:r>
      <w:hyperlink r:id="rId15" w:history="1">
        <w:r w:rsidRPr="00C36162">
          <w:rPr>
            <w:rStyle w:val="Hyperlink"/>
            <w:rFonts w:ascii="Calibri" w:eastAsia="Calibri" w:hAnsi="Calibri" w:cs="Calibri"/>
          </w:rPr>
          <w:t>https://doi-org.du.idm.oclc.org/10.1007/s11482-015-9401-3</w:t>
        </w:r>
      </w:hyperlink>
      <w:r>
        <w:rPr>
          <w:rFonts w:ascii="Calibri" w:eastAsia="Calibri" w:hAnsi="Calibri" w:cs="Calibri"/>
        </w:rPr>
        <w:t xml:space="preserve"> </w:t>
      </w:r>
    </w:p>
    <w:p w14:paraId="661D430D" w14:textId="77777777" w:rsidR="00686E3D" w:rsidRPr="007A61FB" w:rsidRDefault="00686E3D" w:rsidP="00686E3D">
      <w:pPr>
        <w:pStyle w:val="Normal1"/>
        <w:spacing w:line="480" w:lineRule="auto"/>
        <w:ind w:left="720" w:hanging="720"/>
        <w:rPr>
          <w:rFonts w:ascii="Calibri" w:eastAsia="Calibri" w:hAnsi="Calibri" w:cs="Calibri"/>
        </w:rPr>
      </w:pPr>
      <w:r>
        <w:rPr>
          <w:rFonts w:ascii="Calibri" w:eastAsia="Calibri" w:hAnsi="Calibri" w:cs="Calibri"/>
        </w:rPr>
        <w:t xml:space="preserve">Salkovskis, P., Rimes, K., Warwick, H., &amp; Clark, D. (2002). The Health Anxiety Inventory: Development and validation of scales for the measurement of health anxiety and hypochondriasis. </w:t>
      </w:r>
      <w:r>
        <w:rPr>
          <w:rFonts w:ascii="Calibri" w:eastAsia="Calibri" w:hAnsi="Calibri" w:cs="Calibri"/>
          <w:i/>
          <w:iCs/>
        </w:rPr>
        <w:t>Psychological Medicine, 32</w:t>
      </w:r>
      <w:r>
        <w:rPr>
          <w:rFonts w:ascii="Calibri" w:eastAsia="Calibri" w:hAnsi="Calibri" w:cs="Calibri"/>
        </w:rPr>
        <w:t xml:space="preserve">(5), 843-853. </w:t>
      </w:r>
      <w:hyperlink r:id="rId16" w:history="1">
        <w:r w:rsidRPr="003C46F3">
          <w:rPr>
            <w:rStyle w:val="Hyperlink"/>
            <w:rFonts w:ascii="Calibri" w:eastAsia="Calibri" w:hAnsi="Calibri" w:cs="Calibri"/>
          </w:rPr>
          <w:t>https://doi.org/10.1017/S0033291702005822</w:t>
        </w:r>
      </w:hyperlink>
      <w:r>
        <w:rPr>
          <w:rFonts w:ascii="Calibri" w:eastAsia="Calibri" w:hAnsi="Calibri" w:cs="Calibri"/>
        </w:rPr>
        <w:t xml:space="preserve"> </w:t>
      </w:r>
    </w:p>
    <w:p w14:paraId="4FD86230" w14:textId="77777777" w:rsidR="0027673E" w:rsidRPr="00D7084C" w:rsidRDefault="0027673E" w:rsidP="0027673E">
      <w:pPr>
        <w:pStyle w:val="Normal1"/>
        <w:spacing w:line="480" w:lineRule="auto"/>
        <w:ind w:left="720" w:hanging="720"/>
        <w:rPr>
          <w:rFonts w:ascii="Calibri" w:eastAsia="Calibri" w:hAnsi="Calibri" w:cs="Calibri"/>
        </w:rPr>
      </w:pPr>
      <w:r>
        <w:rPr>
          <w:rFonts w:ascii="Calibri" w:eastAsia="Calibri" w:hAnsi="Calibri" w:cs="Calibri"/>
        </w:rPr>
        <w:t xml:space="preserve">Schwarzer, R., Bowler, R. M., &amp; Cone J. E. (2014). Social integration buffers stress in New York police after the 9/11 terrorist attack. </w:t>
      </w:r>
      <w:r>
        <w:rPr>
          <w:rFonts w:ascii="Calibri" w:eastAsia="Calibri" w:hAnsi="Calibri" w:cs="Calibri"/>
          <w:i/>
          <w:iCs/>
        </w:rPr>
        <w:t>Anxiety, Stress &amp; Coping, 27</w:t>
      </w:r>
      <w:r>
        <w:rPr>
          <w:rFonts w:ascii="Calibri" w:eastAsia="Calibri" w:hAnsi="Calibri" w:cs="Calibri"/>
        </w:rPr>
        <w:t xml:space="preserve">(1), 18-26. </w:t>
      </w:r>
      <w:hyperlink r:id="rId17" w:history="1">
        <w:r w:rsidRPr="00C36162">
          <w:rPr>
            <w:rStyle w:val="Hyperlink"/>
            <w:rFonts w:ascii="Calibri" w:eastAsia="Calibri" w:hAnsi="Calibri" w:cs="Calibri"/>
          </w:rPr>
          <w:t>https://doi.org/10.1080/10615806.2013.806652</w:t>
        </w:r>
      </w:hyperlink>
      <w:r>
        <w:rPr>
          <w:rFonts w:ascii="Calibri" w:eastAsia="Calibri" w:hAnsi="Calibri" w:cs="Calibri"/>
        </w:rPr>
        <w:t xml:space="preserve"> </w:t>
      </w:r>
    </w:p>
    <w:p w14:paraId="07EEC23C" w14:textId="77777777" w:rsidR="00686E3D" w:rsidRDefault="00686E3D" w:rsidP="00686E3D">
      <w:pPr>
        <w:pStyle w:val="Normal1"/>
        <w:spacing w:line="480" w:lineRule="auto"/>
        <w:ind w:left="720" w:hanging="720"/>
        <w:rPr>
          <w:rFonts w:ascii="Calibri" w:eastAsia="Calibri" w:hAnsi="Calibri" w:cs="Calibri"/>
        </w:rPr>
      </w:pPr>
      <w:r>
        <w:rPr>
          <w:rFonts w:ascii="Calibri" w:eastAsia="Calibri" w:hAnsi="Calibri" w:cs="Calibri"/>
        </w:rPr>
        <w:lastRenderedPageBreak/>
        <w:t xml:space="preserve">Spielberger, C. D., Gorsuch, R. L., Lushene, R., Vagg, P. R., &amp; Jacobs, G. A. (1983). </w:t>
      </w:r>
      <w:r>
        <w:rPr>
          <w:rFonts w:ascii="Calibri" w:eastAsia="Calibri" w:hAnsi="Calibri" w:cs="Calibri"/>
          <w:i/>
        </w:rPr>
        <w:t>Manual for the State-Trait Anxiety Inventory</w:t>
      </w:r>
      <w:r>
        <w:rPr>
          <w:rFonts w:ascii="Calibri" w:eastAsia="Calibri" w:hAnsi="Calibri" w:cs="Calibri"/>
        </w:rPr>
        <w:t>. Palo Alto, CA: Consulting Psychologists Press.</w:t>
      </w:r>
    </w:p>
    <w:p w14:paraId="66854961" w14:textId="77777777" w:rsidR="0067230E" w:rsidRPr="0067230E" w:rsidRDefault="0067230E" w:rsidP="0067230E">
      <w:pPr>
        <w:pStyle w:val="Normal1"/>
        <w:spacing w:line="480" w:lineRule="auto"/>
        <w:ind w:left="720" w:hanging="720"/>
        <w:rPr>
          <w:rFonts w:ascii="Calibri" w:eastAsia="Calibri" w:hAnsi="Calibri" w:cs="Calibri"/>
        </w:rPr>
      </w:pPr>
      <w:r w:rsidRPr="0067230E">
        <w:rPr>
          <w:rFonts w:ascii="Calibri" w:eastAsia="Calibri" w:hAnsi="Calibri" w:cs="Calibri"/>
        </w:rPr>
        <w:t xml:space="preserve">Suri, G., Whittaker, K., &amp; Gross, J. J. (2015). Launching reappraisal: It’s less common than you might think. </w:t>
      </w:r>
      <w:r w:rsidRPr="0067230E">
        <w:rPr>
          <w:rFonts w:ascii="Calibri" w:eastAsia="Calibri" w:hAnsi="Calibri" w:cs="Calibri"/>
          <w:i/>
          <w:iCs/>
        </w:rPr>
        <w:t>Emotion, 15</w:t>
      </w:r>
      <w:r w:rsidRPr="0067230E">
        <w:rPr>
          <w:rFonts w:ascii="Calibri" w:eastAsia="Calibri" w:hAnsi="Calibri" w:cs="Calibri"/>
        </w:rPr>
        <w:t xml:space="preserve">(1), 73-77. </w:t>
      </w:r>
      <w:hyperlink r:id="rId18" w:history="1">
        <w:r w:rsidRPr="0067230E">
          <w:rPr>
            <w:rStyle w:val="Hyperlink"/>
            <w:rFonts w:ascii="Calibri" w:eastAsia="Calibri" w:hAnsi="Calibri" w:cs="Calibri"/>
          </w:rPr>
          <w:t>http://dx.doi.org/10.1037/emo0000011</w:t>
        </w:r>
      </w:hyperlink>
      <w:r w:rsidRPr="0067230E">
        <w:rPr>
          <w:rFonts w:ascii="Calibri" w:eastAsia="Calibri" w:hAnsi="Calibri" w:cs="Calibri"/>
        </w:rPr>
        <w:t xml:space="preserve">  </w:t>
      </w:r>
    </w:p>
    <w:p w14:paraId="600AC80A" w14:textId="63E0BAAC" w:rsidR="00276849" w:rsidRPr="0067230E" w:rsidRDefault="00276849" w:rsidP="00276849">
      <w:pPr>
        <w:spacing w:line="480" w:lineRule="auto"/>
        <w:ind w:left="720" w:hanging="720"/>
        <w:jc w:val="left"/>
        <w:rPr>
          <w:rFonts w:eastAsia="Times New Roman" w:cs="Calibri"/>
        </w:rPr>
      </w:pPr>
      <w:r w:rsidRPr="0067230E">
        <w:rPr>
          <w:rFonts w:eastAsia="Times New Roman" w:cs="Calibri"/>
        </w:rPr>
        <w:t xml:space="preserve">Webb, T. L., Miles, E., &amp; Sheeran, P. (2012). Dealing with feeling: A meta-analysis of the effectiveness of strategies derived from the process model of emotion regulation. </w:t>
      </w:r>
      <w:r w:rsidRPr="0067230E">
        <w:rPr>
          <w:rFonts w:eastAsia="Times New Roman" w:cs="Calibri"/>
          <w:i/>
          <w:iCs/>
        </w:rPr>
        <w:t>Psychological Bulletin, 138</w:t>
      </w:r>
      <w:r w:rsidRPr="0067230E">
        <w:rPr>
          <w:rFonts w:eastAsia="Times New Roman" w:cs="Calibri"/>
        </w:rPr>
        <w:t xml:space="preserve">(4), 775-808. </w:t>
      </w:r>
      <w:hyperlink r:id="rId19" w:history="1">
        <w:r w:rsidRPr="0067230E">
          <w:rPr>
            <w:rStyle w:val="Hyperlink"/>
            <w:rFonts w:eastAsia="Times New Roman" w:cs="Calibri"/>
          </w:rPr>
          <w:t>https://doi.org/10.1037/a0027600</w:t>
        </w:r>
      </w:hyperlink>
      <w:r w:rsidRPr="0067230E">
        <w:rPr>
          <w:rFonts w:eastAsia="Times New Roman" w:cs="Calibri"/>
        </w:rPr>
        <w:t xml:space="preserve"> </w:t>
      </w:r>
    </w:p>
    <w:p w14:paraId="35B5705F" w14:textId="77777777" w:rsidR="00DA2821" w:rsidRDefault="00DA2821" w:rsidP="00DA2821">
      <w:pPr>
        <w:spacing w:line="480" w:lineRule="auto"/>
        <w:ind w:left="720" w:hanging="720"/>
        <w:jc w:val="left"/>
        <w:rPr>
          <w:rFonts w:eastAsia="Times New Roman" w:cs="Calibri"/>
        </w:rPr>
      </w:pPr>
      <w:r>
        <w:rPr>
          <w:rFonts w:eastAsia="Times New Roman" w:cs="Calibri"/>
        </w:rPr>
        <w:t xml:space="preserve">Whisman, M. A., &amp; Richardson, E. D. (2015). Normative data on the Beck Depression Inventory – Second Edition (BDI-II) in college students. </w:t>
      </w:r>
      <w:r>
        <w:rPr>
          <w:rFonts w:eastAsia="Times New Roman" w:cs="Calibri"/>
          <w:i/>
          <w:iCs/>
        </w:rPr>
        <w:t>Journal of Clinical Psychology, 71</w:t>
      </w:r>
      <w:r>
        <w:rPr>
          <w:rFonts w:eastAsia="Times New Roman" w:cs="Calibri"/>
        </w:rPr>
        <w:t xml:space="preserve">(9), 898-907. </w:t>
      </w:r>
      <w:hyperlink r:id="rId20" w:history="1">
        <w:r w:rsidRPr="00FB080C">
          <w:rPr>
            <w:rStyle w:val="Hyperlink"/>
            <w:rFonts w:eastAsia="Times New Roman" w:cs="Calibri"/>
          </w:rPr>
          <w:t>https://doi.org/10.1002/jclp.22188</w:t>
        </w:r>
      </w:hyperlink>
      <w:r>
        <w:rPr>
          <w:rFonts w:eastAsia="Times New Roman" w:cs="Calibri"/>
        </w:rPr>
        <w:t xml:space="preserve"> </w:t>
      </w:r>
    </w:p>
    <w:p w14:paraId="3DE68D0B" w14:textId="75F0C006" w:rsidR="00276849" w:rsidRPr="005007A8" w:rsidRDefault="0067230E" w:rsidP="005007A8">
      <w:pPr>
        <w:spacing w:line="480" w:lineRule="auto"/>
        <w:ind w:left="720" w:hanging="720"/>
        <w:jc w:val="left"/>
        <w:rPr>
          <w:rFonts w:eastAsia="Times New Roman" w:cs="Calibri"/>
        </w:rPr>
      </w:pPr>
      <w:r w:rsidRPr="0067230E">
        <w:rPr>
          <w:rFonts w:eastAsia="Times New Roman" w:cs="Calibri"/>
        </w:rPr>
        <w:t xml:space="preserve">Zarotti, N., Povah, C., &amp; Simpson, J. (2020). Mindfulness mediates the relationship between cognitive reappraisal and resilience in higher education students. </w:t>
      </w:r>
      <w:r w:rsidRPr="0067230E">
        <w:rPr>
          <w:rFonts w:eastAsia="Times New Roman" w:cs="Calibri"/>
          <w:i/>
          <w:iCs/>
        </w:rPr>
        <w:t>Personality and Individual Differences, 156</w:t>
      </w:r>
      <w:r w:rsidRPr="0067230E">
        <w:rPr>
          <w:rFonts w:eastAsia="Times New Roman" w:cs="Calibri"/>
        </w:rPr>
        <w:t xml:space="preserve">, 109795. </w:t>
      </w:r>
      <w:hyperlink r:id="rId21" w:history="1">
        <w:r w:rsidRPr="0067230E">
          <w:rPr>
            <w:rStyle w:val="Hyperlink"/>
            <w:rFonts w:eastAsia="Times New Roman" w:cs="Calibri"/>
          </w:rPr>
          <w:t>https://doi.org/10.1016/j.paid.2019.109795</w:t>
        </w:r>
      </w:hyperlink>
      <w:r>
        <w:rPr>
          <w:rFonts w:eastAsia="Times New Roman" w:cs="Calibri"/>
        </w:rPr>
        <w:t xml:space="preserve"> </w:t>
      </w:r>
    </w:p>
    <w:sectPr w:rsidR="00276849" w:rsidRPr="0050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F"/>
    <w:rsid w:val="00034419"/>
    <w:rsid w:val="000B0B93"/>
    <w:rsid w:val="000C2D09"/>
    <w:rsid w:val="000E0E5D"/>
    <w:rsid w:val="000E64EE"/>
    <w:rsid w:val="00150860"/>
    <w:rsid w:val="00187E89"/>
    <w:rsid w:val="001B745A"/>
    <w:rsid w:val="001C7FE4"/>
    <w:rsid w:val="00207052"/>
    <w:rsid w:val="00213160"/>
    <w:rsid w:val="002376D0"/>
    <w:rsid w:val="00274AB1"/>
    <w:rsid w:val="0027673E"/>
    <w:rsid w:val="00276849"/>
    <w:rsid w:val="002D03C3"/>
    <w:rsid w:val="002E1CD8"/>
    <w:rsid w:val="00320172"/>
    <w:rsid w:val="00365191"/>
    <w:rsid w:val="00387209"/>
    <w:rsid w:val="003A0D08"/>
    <w:rsid w:val="003A3826"/>
    <w:rsid w:val="00402579"/>
    <w:rsid w:val="004031C6"/>
    <w:rsid w:val="00452687"/>
    <w:rsid w:val="004A5FC4"/>
    <w:rsid w:val="004C3211"/>
    <w:rsid w:val="004F3839"/>
    <w:rsid w:val="005007A8"/>
    <w:rsid w:val="005570EB"/>
    <w:rsid w:val="005842C9"/>
    <w:rsid w:val="00586A43"/>
    <w:rsid w:val="0059194F"/>
    <w:rsid w:val="005C55A8"/>
    <w:rsid w:val="005C7D9F"/>
    <w:rsid w:val="00647D9C"/>
    <w:rsid w:val="00653F51"/>
    <w:rsid w:val="00660B92"/>
    <w:rsid w:val="0067230E"/>
    <w:rsid w:val="00682247"/>
    <w:rsid w:val="00686E3D"/>
    <w:rsid w:val="006A55FA"/>
    <w:rsid w:val="006A7322"/>
    <w:rsid w:val="006C0F66"/>
    <w:rsid w:val="006E0A03"/>
    <w:rsid w:val="0070374F"/>
    <w:rsid w:val="007137FD"/>
    <w:rsid w:val="00770FD9"/>
    <w:rsid w:val="007B44C3"/>
    <w:rsid w:val="007D715A"/>
    <w:rsid w:val="007E07A6"/>
    <w:rsid w:val="00842983"/>
    <w:rsid w:val="008F6498"/>
    <w:rsid w:val="00906FD8"/>
    <w:rsid w:val="0094191E"/>
    <w:rsid w:val="009925F7"/>
    <w:rsid w:val="009A5C49"/>
    <w:rsid w:val="009B77FE"/>
    <w:rsid w:val="00A07FAD"/>
    <w:rsid w:val="00A12D73"/>
    <w:rsid w:val="00A26126"/>
    <w:rsid w:val="00AB4999"/>
    <w:rsid w:val="00AC0CC8"/>
    <w:rsid w:val="00B006FA"/>
    <w:rsid w:val="00B33D07"/>
    <w:rsid w:val="00B40F4E"/>
    <w:rsid w:val="00B67843"/>
    <w:rsid w:val="00B77202"/>
    <w:rsid w:val="00BC55CE"/>
    <w:rsid w:val="00BD713C"/>
    <w:rsid w:val="00C05830"/>
    <w:rsid w:val="00C308E5"/>
    <w:rsid w:val="00C353C6"/>
    <w:rsid w:val="00C668B0"/>
    <w:rsid w:val="00C670E9"/>
    <w:rsid w:val="00C87500"/>
    <w:rsid w:val="00CB62B6"/>
    <w:rsid w:val="00CD35F5"/>
    <w:rsid w:val="00D419AC"/>
    <w:rsid w:val="00D65F6E"/>
    <w:rsid w:val="00D70F63"/>
    <w:rsid w:val="00DA1421"/>
    <w:rsid w:val="00DA2821"/>
    <w:rsid w:val="00DC131E"/>
    <w:rsid w:val="00DC789C"/>
    <w:rsid w:val="00DE6BE0"/>
    <w:rsid w:val="00E044DE"/>
    <w:rsid w:val="00E6289B"/>
    <w:rsid w:val="00F00EA4"/>
    <w:rsid w:val="00F27CF7"/>
    <w:rsid w:val="00F450E3"/>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9D04"/>
  <w15:chartTrackingRefBased/>
  <w15:docId w15:val="{8B8D0986-0A11-4A24-A13B-21FFC936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9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D9F"/>
    <w:rPr>
      <w:color w:val="0563C1" w:themeColor="hyperlink"/>
      <w:u w:val="single"/>
    </w:rPr>
  </w:style>
  <w:style w:type="table" w:styleId="TableGrid">
    <w:name w:val="Table Grid"/>
    <w:basedOn w:val="TableNormal"/>
    <w:uiPriority w:val="39"/>
    <w:rsid w:val="000B0B9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7202"/>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52"/>
    <w:rPr>
      <w:rFonts w:ascii="Segoe UI" w:hAnsi="Segoe UI" w:cs="Segoe UI"/>
      <w:sz w:val="18"/>
      <w:szCs w:val="18"/>
    </w:rPr>
  </w:style>
  <w:style w:type="character" w:customStyle="1" w:styleId="apple-tab-span">
    <w:name w:val="apple-tab-span"/>
    <w:basedOn w:val="DefaultParagraphFont"/>
    <w:rsid w:val="004F3839"/>
  </w:style>
  <w:style w:type="paragraph" w:customStyle="1" w:styleId="Normal1">
    <w:name w:val="Normal1"/>
    <w:rsid w:val="00276849"/>
    <w:pPr>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0037249" TargetMode="External"/><Relationship Id="rId13" Type="http://schemas.openxmlformats.org/officeDocument/2006/relationships/hyperlink" Target="https://doi.org/10.1037/11468-001" TargetMode="External"/><Relationship Id="rId18" Type="http://schemas.openxmlformats.org/officeDocument/2006/relationships/hyperlink" Target="http://dx.doi.org/10.1037/emo0000011" TargetMode="External"/><Relationship Id="rId3" Type="http://schemas.openxmlformats.org/officeDocument/2006/relationships/webSettings" Target="webSettings.xml"/><Relationship Id="rId21" Type="http://schemas.openxmlformats.org/officeDocument/2006/relationships/hyperlink" Target="https://doi.org/10.1016/j.paid.2019.109795" TargetMode="External"/><Relationship Id="rId7" Type="http://schemas.openxmlformats.org/officeDocument/2006/relationships/hyperlink" Target="https://escholarship.org/uc/item/80k5d5hw" TargetMode="External"/><Relationship Id="rId12" Type="http://schemas.openxmlformats.org/officeDocument/2006/relationships/hyperlink" Target="https://doi.org/10.1037/0022-3514.85.2.348" TargetMode="External"/><Relationship Id="rId17" Type="http://schemas.openxmlformats.org/officeDocument/2006/relationships/hyperlink" Target="https://doi.org/10.1080/10615806.2013.806652" TargetMode="External"/><Relationship Id="rId2" Type="http://schemas.openxmlformats.org/officeDocument/2006/relationships/settings" Target="settings.xml"/><Relationship Id="rId16" Type="http://schemas.openxmlformats.org/officeDocument/2006/relationships/hyperlink" Target="https://doi.org/10.1017/S0033291702005822" TargetMode="External"/><Relationship Id="rId20" Type="http://schemas.openxmlformats.org/officeDocument/2006/relationships/hyperlink" Target="https://doi.org/10.1002/jclp.22188" TargetMode="External"/><Relationship Id="rId1" Type="http://schemas.openxmlformats.org/officeDocument/2006/relationships/styles" Target="styles.xml"/><Relationship Id="rId6" Type="http://schemas.openxmlformats.org/officeDocument/2006/relationships/hyperlink" Target="https://doi.org/10.1207/s15327558ijbm0401_6" TargetMode="External"/><Relationship Id="rId11" Type="http://schemas.openxmlformats.org/officeDocument/2006/relationships/hyperlink" Target="https://doi.org/10.1017/S0048577201393198" TargetMode="External"/><Relationship Id="rId5" Type="http://schemas.openxmlformats.org/officeDocument/2006/relationships/image" Target="media/image2.jpeg"/><Relationship Id="rId15" Type="http://schemas.openxmlformats.org/officeDocument/2006/relationships/hyperlink" Target="https://doi-org.du.idm.oclc.org/10.1007/s11482-015-9401-3" TargetMode="External"/><Relationship Id="rId23" Type="http://schemas.openxmlformats.org/officeDocument/2006/relationships/theme" Target="theme/theme1.xml"/><Relationship Id="rId10" Type="http://schemas.openxmlformats.org/officeDocument/2006/relationships/hyperlink" Target="https://doi.org/10.1023/B:JOBA.0000007455.08539.94" TargetMode="External"/><Relationship Id="rId19" Type="http://schemas.openxmlformats.org/officeDocument/2006/relationships/hyperlink" Target="https://doi.org/10.1037/a0027600" TargetMode="External"/><Relationship Id="rId4" Type="http://schemas.openxmlformats.org/officeDocument/2006/relationships/image" Target="media/image1.tiff"/><Relationship Id="rId9" Type="http://schemas.openxmlformats.org/officeDocument/2006/relationships/hyperlink" Target="https://doi.org/10.1001/jamainternmed.2013.13018" TargetMode="External"/><Relationship Id="rId14" Type="http://schemas.openxmlformats.org/officeDocument/2006/relationships/hyperlink" Target="https://doi.org/10.1016/j.puhe.2017.07.0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18</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44</cp:revision>
  <dcterms:created xsi:type="dcterms:W3CDTF">2021-11-27T00:08:00Z</dcterms:created>
  <dcterms:modified xsi:type="dcterms:W3CDTF">2022-08-03T00:21:00Z</dcterms:modified>
</cp:coreProperties>
</file>