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2A" w:rsidRDefault="00E47D2A" w:rsidP="007B7F93">
      <w:pPr>
        <w:widowControl w:val="0"/>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Text S1: NIST Measurement Report</w:t>
      </w:r>
      <w:bookmarkStart w:id="0" w:name="_GoBack"/>
      <w:bookmarkEnd w:id="0"/>
    </w:p>
    <w:p w:rsidR="00E47D2A" w:rsidRDefault="00E47D2A" w:rsidP="007B7F93">
      <w:pPr>
        <w:widowControl w:val="0"/>
        <w:spacing w:after="0" w:line="240" w:lineRule="auto"/>
        <w:jc w:val="center"/>
        <w:rPr>
          <w:rFonts w:ascii="Arial" w:eastAsia="Times New Roman" w:hAnsi="Arial" w:cs="Times New Roman"/>
          <w:sz w:val="24"/>
          <w:szCs w:val="24"/>
        </w:rPr>
      </w:pPr>
    </w:p>
    <w:p w:rsidR="007B7F93" w:rsidRPr="00193F77" w:rsidRDefault="007B7F93" w:rsidP="007B7F93">
      <w:pPr>
        <w:widowControl w:val="0"/>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 xml:space="preserve">NIST </w:t>
      </w:r>
      <w:r w:rsidRPr="00193F77">
        <w:rPr>
          <w:rFonts w:ascii="Arial" w:eastAsia="Times New Roman" w:hAnsi="Arial" w:cs="Times New Roman"/>
          <w:sz w:val="24"/>
          <w:szCs w:val="24"/>
        </w:rPr>
        <w:t>Measurement report: Halocarbons in Dry Whole Air</w:t>
      </w:r>
    </w:p>
    <w:p w:rsidR="007B7F93" w:rsidRPr="00BF27EF" w:rsidRDefault="007B7F93" w:rsidP="007B7F93">
      <w:pPr>
        <w:widowControl w:val="0"/>
        <w:spacing w:after="0" w:line="240" w:lineRule="auto"/>
        <w:jc w:val="both"/>
        <w:rPr>
          <w:rFonts w:ascii="Arial" w:eastAsia="Times New Roman" w:hAnsi="Arial" w:cs="Times New Roman"/>
          <w:sz w:val="20"/>
          <w:szCs w:val="20"/>
        </w:rPr>
      </w:pPr>
    </w:p>
    <w:p w:rsidR="007B7F93" w:rsidRPr="00BF27EF" w:rsidRDefault="007B7F93" w:rsidP="007B7F93">
      <w:pPr>
        <w:widowControl w:val="0"/>
        <w:tabs>
          <w:tab w:val="left" w:pos="0"/>
          <w:tab w:val="left" w:pos="1740"/>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Laboratory</w:t>
      </w:r>
      <w:r w:rsidRPr="00BF27EF">
        <w:rPr>
          <w:rFonts w:ascii="Arial" w:eastAsia="Times New Roman" w:hAnsi="Arial" w:cs="Times New Roman"/>
          <w:sz w:val="20"/>
          <w:szCs w:val="20"/>
        </w:rPr>
        <w:tab/>
        <w:t>: National Institute of Standards and Technology (NIST)</w:t>
      </w:r>
    </w:p>
    <w:p w:rsidR="007B7F93" w:rsidRPr="00BF27EF" w:rsidRDefault="007B7F93" w:rsidP="007B7F93">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z w:val="20"/>
          <w:szCs w:val="20"/>
        </w:rPr>
      </w:pPr>
    </w:p>
    <w:p w:rsidR="007B7F93" w:rsidRPr="00BF27EF" w:rsidRDefault="007B7F93" w:rsidP="007B7F93">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Cylinder number</w:t>
      </w:r>
      <w:r w:rsidRPr="00BF27EF">
        <w:rPr>
          <w:rFonts w:ascii="Arial" w:eastAsia="Times New Roman" w:hAnsi="Arial" w:cs="Times New Roman"/>
          <w:sz w:val="20"/>
          <w:szCs w:val="20"/>
        </w:rPr>
        <w:tab/>
        <w:t>: AAL073358</w:t>
      </w:r>
    </w:p>
    <w:p w:rsidR="007B7F93" w:rsidRPr="00BF27EF" w:rsidRDefault="007B7F93" w:rsidP="007B7F93">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mallCaps/>
          <w:sz w:val="24"/>
          <w:szCs w:val="20"/>
        </w:rPr>
      </w:pPr>
    </w:p>
    <w:p w:rsidR="007B7F93" w:rsidRPr="00BF27EF" w:rsidRDefault="007B7F93" w:rsidP="007B7F93">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mallCaps/>
          <w:sz w:val="20"/>
          <w:szCs w:val="20"/>
        </w:rPr>
      </w:pPr>
      <w:r w:rsidRPr="00BF27EF">
        <w:rPr>
          <w:rFonts w:ascii="Arial" w:eastAsia="Times New Roman" w:hAnsi="Arial" w:cs="Times New Roman"/>
          <w:smallCaps/>
          <w:sz w:val="24"/>
          <w:szCs w:val="20"/>
        </w:rPr>
        <w:t>nominal composition:</w:t>
      </w:r>
      <w:r w:rsidRPr="00BF27EF">
        <w:rPr>
          <w:rFonts w:ascii="Arial" w:eastAsia="Times New Roman" w:hAnsi="Arial" w:cs="Times New Roman"/>
          <w:smallCaps/>
          <w:sz w:val="20"/>
          <w:szCs w:val="20"/>
        </w:rPr>
        <w:t xml:space="preserve"> </w:t>
      </w:r>
      <w:r w:rsidRPr="00BF27EF">
        <w:rPr>
          <w:rFonts w:ascii="Arial" w:eastAsia="Times New Roman" w:hAnsi="Arial" w:cs="Times New Roman"/>
          <w:sz w:val="20"/>
          <w:szCs w:val="20"/>
        </w:rPr>
        <w:t>Various from</w:t>
      </w:r>
      <w:r w:rsidRPr="00BF27EF">
        <w:rPr>
          <w:rFonts w:ascii="Arial" w:eastAsia="Times New Roman" w:hAnsi="Arial" w:cs="Times New Roman"/>
          <w:smallCaps/>
          <w:sz w:val="20"/>
          <w:szCs w:val="20"/>
        </w:rPr>
        <w:t xml:space="preserve"> 20 x 10</w:t>
      </w:r>
      <w:r w:rsidRPr="00BF27EF">
        <w:rPr>
          <w:rFonts w:ascii="Arial" w:eastAsia="Times New Roman" w:hAnsi="Arial" w:cs="Times New Roman"/>
          <w:smallCaps/>
          <w:sz w:val="20"/>
          <w:szCs w:val="20"/>
          <w:vertAlign w:val="superscript"/>
        </w:rPr>
        <w:t>-12</w:t>
      </w:r>
      <w:r w:rsidRPr="00BF27EF">
        <w:rPr>
          <w:rFonts w:ascii="Arial" w:eastAsia="Times New Roman" w:hAnsi="Arial" w:cs="Times New Roman"/>
          <w:smallCaps/>
          <w:sz w:val="20"/>
          <w:szCs w:val="20"/>
        </w:rPr>
        <w:t xml:space="preserve"> </w:t>
      </w:r>
      <w:r w:rsidRPr="00BF27EF">
        <w:rPr>
          <w:rFonts w:ascii="Arial" w:eastAsia="Times New Roman" w:hAnsi="Arial" w:cs="Times New Roman"/>
          <w:sz w:val="20"/>
          <w:szCs w:val="20"/>
        </w:rPr>
        <w:t>to</w:t>
      </w:r>
      <w:r w:rsidRPr="00BF27EF">
        <w:rPr>
          <w:rFonts w:ascii="Arial" w:eastAsia="Times New Roman" w:hAnsi="Arial" w:cs="Times New Roman"/>
          <w:smallCaps/>
          <w:sz w:val="20"/>
          <w:szCs w:val="20"/>
        </w:rPr>
        <w:t xml:space="preserve"> 550 x 10</w:t>
      </w:r>
      <w:r w:rsidRPr="00BF27EF">
        <w:rPr>
          <w:rFonts w:ascii="Arial" w:eastAsia="Times New Roman" w:hAnsi="Arial" w:cs="Times New Roman"/>
          <w:smallCaps/>
          <w:sz w:val="20"/>
          <w:szCs w:val="20"/>
          <w:vertAlign w:val="superscript"/>
        </w:rPr>
        <w:t>-12</w:t>
      </w:r>
      <w:r w:rsidRPr="00BF27EF">
        <w:rPr>
          <w:rFonts w:ascii="Arial" w:eastAsia="Times New Roman" w:hAnsi="Arial" w:cs="Times New Roman"/>
          <w:smallCaps/>
          <w:sz w:val="20"/>
          <w:szCs w:val="20"/>
        </w:rPr>
        <w:t xml:space="preserve"> (</w:t>
      </w:r>
      <w:r w:rsidRPr="00BF27EF">
        <w:rPr>
          <w:rFonts w:ascii="Arial" w:eastAsia="Times New Roman" w:hAnsi="Arial" w:cs="Times New Roman"/>
          <w:sz w:val="20"/>
          <w:szCs w:val="20"/>
        </w:rPr>
        <w:t>pmol/mol; ppt</w:t>
      </w:r>
      <w:r w:rsidRPr="00BF27EF">
        <w:rPr>
          <w:rFonts w:ascii="Arial" w:eastAsia="Times New Roman" w:hAnsi="Arial" w:cs="Times New Roman"/>
          <w:smallCaps/>
          <w:sz w:val="20"/>
          <w:szCs w:val="20"/>
        </w:rPr>
        <w:t>)</w:t>
      </w:r>
    </w:p>
    <w:p w:rsidR="007B7F93" w:rsidRPr="00BF27EF" w:rsidRDefault="007B7F93" w:rsidP="007B7F93">
      <w:pPr>
        <w:widowControl w:val="0"/>
        <w:tabs>
          <w:tab w:val="left" w:pos="283"/>
          <w:tab w:val="left" w:pos="1190"/>
          <w:tab w:val="left" w:pos="1790"/>
          <w:tab w:val="left" w:pos="2301"/>
          <w:tab w:val="left" w:pos="3151"/>
          <w:tab w:val="left" w:pos="3688"/>
          <w:tab w:val="left" w:pos="4341"/>
        </w:tabs>
        <w:spacing w:after="0" w:line="240" w:lineRule="auto"/>
        <w:jc w:val="both"/>
        <w:rPr>
          <w:rFonts w:ascii="Arial" w:eastAsia="Times New Roman" w:hAnsi="Arial" w:cs="Times New Roman"/>
          <w:sz w:val="20"/>
          <w:szCs w:val="20"/>
        </w:rPr>
      </w:pPr>
    </w:p>
    <w:tbl>
      <w:tblPr>
        <w:tblW w:w="9720" w:type="dxa"/>
        <w:tblInd w:w="-131" w:type="dxa"/>
        <w:tblBorders>
          <w:left w:val="double" w:sz="6" w:space="0" w:color="000000"/>
          <w:right w:val="double" w:sz="6" w:space="0" w:color="000000"/>
          <w:insideH w:val="single" w:sz="6" w:space="0" w:color="000000"/>
          <w:insideV w:val="single" w:sz="6" w:space="0" w:color="000000"/>
        </w:tblBorders>
        <w:tblLayout w:type="fixed"/>
        <w:tblCellMar>
          <w:left w:w="139" w:type="dxa"/>
          <w:right w:w="139" w:type="dxa"/>
        </w:tblCellMar>
        <w:tblLook w:val="0000" w:firstRow="0" w:lastRow="0" w:firstColumn="0" w:lastColumn="0" w:noHBand="0" w:noVBand="0"/>
      </w:tblPr>
      <w:tblGrid>
        <w:gridCol w:w="4097"/>
        <w:gridCol w:w="1303"/>
        <w:gridCol w:w="1341"/>
        <w:gridCol w:w="1303"/>
        <w:gridCol w:w="1676"/>
      </w:tblGrid>
      <w:tr w:rsidR="007B7F93" w:rsidRPr="00BF27EF" w:rsidTr="007E355B">
        <w:tc>
          <w:tcPr>
            <w:tcW w:w="396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Measurement</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No. 1</w:t>
            </w:r>
          </w:p>
        </w:tc>
        <w:tc>
          <w:tcPr>
            <w:tcW w:w="126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Date</w:t>
            </w:r>
          </w:p>
        </w:tc>
        <w:tc>
          <w:tcPr>
            <w:tcW w:w="1296"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Result</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(pmol/mol)</w:t>
            </w:r>
          </w:p>
        </w:tc>
        <w:tc>
          <w:tcPr>
            <w:tcW w:w="126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roofErr w:type="gramStart"/>
            <w:r w:rsidRPr="00BF27EF">
              <w:rPr>
                <w:rFonts w:ascii="Arial" w:eastAsia="Times New Roman" w:hAnsi="Arial" w:cs="Times New Roman"/>
                <w:sz w:val="20"/>
                <w:szCs w:val="20"/>
              </w:rPr>
              <w:t>stand</w:t>
            </w:r>
            <w:proofErr w:type="gramEnd"/>
            <w:r w:rsidRPr="00BF27EF">
              <w:rPr>
                <w:rFonts w:ascii="Arial" w:eastAsia="Times New Roman" w:hAnsi="Arial" w:cs="Times New Roman"/>
                <w:sz w:val="20"/>
                <w:szCs w:val="20"/>
              </w:rPr>
              <w:t>. deviation</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relative)</w:t>
            </w:r>
          </w:p>
        </w:tc>
        <w:tc>
          <w:tcPr>
            <w:tcW w:w="162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of sub-</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measurements</w:t>
            </w:r>
          </w:p>
        </w:tc>
      </w:tr>
      <w:tr w:rsidR="007B7F93" w:rsidRPr="00BF27EF" w:rsidTr="007E355B">
        <w:tc>
          <w:tcPr>
            <w:tcW w:w="396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Dichlorodifluoromethane (CFC-12)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Trichlorofluoromethane (CFC-11)</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1,1,2-Trichlorotrifluoroethane (CFC-113)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1,1,1,2-Tetrafluoroethane (HFC-134a)</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Pr>
                <w:rFonts w:ascii="Arial" w:eastAsia="Times New Roman" w:hAnsi="Arial" w:cs="Times New Roman"/>
                <w:sz w:val="20"/>
                <w:szCs w:val="20"/>
              </w:rPr>
              <w:t>Chlorodifluoromethane</w:t>
            </w:r>
            <w:r w:rsidRPr="00BF27EF">
              <w:rPr>
                <w:rFonts w:ascii="Arial" w:eastAsia="Times New Roman" w:hAnsi="Arial" w:cs="Times New Roman"/>
                <w:sz w:val="20"/>
                <w:szCs w:val="20"/>
              </w:rPr>
              <w:t xml:space="preserve"> (HCFC-22)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1,1-Difluoro-1-chloroethane (HCFC-142b)</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tc>
        <w:tc>
          <w:tcPr>
            <w:tcW w:w="126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06-Feb-12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31-Oct-11</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13-Dec-11</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01-Feb-12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01-Feb-12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01-Feb-12</w:t>
            </w:r>
          </w:p>
        </w:tc>
        <w:tc>
          <w:tcPr>
            <w:tcW w:w="1296"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530.9</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240.21</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77.63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64.45</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219.54</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21.78</w:t>
            </w:r>
          </w:p>
        </w:tc>
        <w:tc>
          <w:tcPr>
            <w:tcW w:w="126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1.4</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0.80</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0.19</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1.08</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1.42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0.27</w:t>
            </w:r>
          </w:p>
        </w:tc>
        <w:tc>
          <w:tcPr>
            <w:tcW w:w="162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tc>
      </w:tr>
    </w:tbl>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p>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p>
    <w:tbl>
      <w:tblPr>
        <w:tblW w:w="9720" w:type="dxa"/>
        <w:tblInd w:w="-131" w:type="dxa"/>
        <w:tblBorders>
          <w:left w:val="double" w:sz="6" w:space="0" w:color="000000"/>
          <w:right w:val="double" w:sz="6" w:space="0" w:color="000000"/>
          <w:insideH w:val="single" w:sz="6" w:space="0" w:color="000000"/>
          <w:insideV w:val="single" w:sz="6" w:space="0" w:color="000000"/>
        </w:tblBorders>
        <w:tblLayout w:type="fixed"/>
        <w:tblCellMar>
          <w:left w:w="139" w:type="dxa"/>
          <w:right w:w="139" w:type="dxa"/>
        </w:tblCellMar>
        <w:tblLook w:val="0000" w:firstRow="0" w:lastRow="0" w:firstColumn="0" w:lastColumn="0" w:noHBand="0" w:noVBand="0"/>
      </w:tblPr>
      <w:tblGrid>
        <w:gridCol w:w="4097"/>
        <w:gridCol w:w="1303"/>
        <w:gridCol w:w="1341"/>
        <w:gridCol w:w="1303"/>
        <w:gridCol w:w="1676"/>
      </w:tblGrid>
      <w:tr w:rsidR="007B7F93" w:rsidRPr="00BF27EF" w:rsidTr="007E355B">
        <w:tc>
          <w:tcPr>
            <w:tcW w:w="396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Measurement</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No. 2</w:t>
            </w:r>
          </w:p>
        </w:tc>
        <w:tc>
          <w:tcPr>
            <w:tcW w:w="126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Date</w:t>
            </w:r>
          </w:p>
        </w:tc>
        <w:tc>
          <w:tcPr>
            <w:tcW w:w="1296"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Result</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(pmol/mol)</w:t>
            </w:r>
          </w:p>
        </w:tc>
        <w:tc>
          <w:tcPr>
            <w:tcW w:w="126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roofErr w:type="gramStart"/>
            <w:r w:rsidRPr="00BF27EF">
              <w:rPr>
                <w:rFonts w:ascii="Arial" w:eastAsia="Times New Roman" w:hAnsi="Arial" w:cs="Times New Roman"/>
                <w:sz w:val="20"/>
                <w:szCs w:val="20"/>
              </w:rPr>
              <w:t>stand</w:t>
            </w:r>
            <w:proofErr w:type="gramEnd"/>
            <w:r w:rsidRPr="00BF27EF">
              <w:rPr>
                <w:rFonts w:ascii="Arial" w:eastAsia="Times New Roman" w:hAnsi="Arial" w:cs="Times New Roman"/>
                <w:sz w:val="20"/>
                <w:szCs w:val="20"/>
              </w:rPr>
              <w:t>. deviation</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relative)</w:t>
            </w:r>
          </w:p>
        </w:tc>
        <w:tc>
          <w:tcPr>
            <w:tcW w:w="162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of sub-</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measurements</w:t>
            </w:r>
          </w:p>
        </w:tc>
      </w:tr>
      <w:tr w:rsidR="007B7F93" w:rsidRPr="00BF27EF" w:rsidTr="007E355B">
        <w:tc>
          <w:tcPr>
            <w:tcW w:w="396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Dichlorodifluoromethane (CFC-12)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Trichlorofluoromethane (CFC-11)</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1,1,2-Trichlorotrifluoroethane (CFC-113)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1,1,1,2-Tetrafluoroethane (HFC-134a)</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Pr>
                <w:rFonts w:ascii="Arial" w:eastAsia="Times New Roman" w:hAnsi="Arial" w:cs="Times New Roman"/>
                <w:sz w:val="20"/>
                <w:szCs w:val="20"/>
              </w:rPr>
              <w:t>Chlorodifluoromethane</w:t>
            </w:r>
            <w:r w:rsidRPr="00BF27EF">
              <w:rPr>
                <w:rFonts w:ascii="Arial" w:eastAsia="Times New Roman" w:hAnsi="Arial" w:cs="Times New Roman"/>
                <w:sz w:val="20"/>
                <w:szCs w:val="20"/>
              </w:rPr>
              <w:t xml:space="preserve"> (HCFC-22)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1,1-Difluoro-1-chloroethane (HCFC-142b)</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tc>
        <w:tc>
          <w:tcPr>
            <w:tcW w:w="126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07-Feb-12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01-Nov-11</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13-Dec-11</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02-Feb-12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02-Feb-12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02-Feb-12</w:t>
            </w:r>
          </w:p>
        </w:tc>
        <w:tc>
          <w:tcPr>
            <w:tcW w:w="1296"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528.92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241.94</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77.69</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63.03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221.95</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21.80</w:t>
            </w:r>
          </w:p>
        </w:tc>
        <w:tc>
          <w:tcPr>
            <w:tcW w:w="126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0.56</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0.37</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0.19</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1.44</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0.27</w:t>
            </w:r>
          </w:p>
        </w:tc>
        <w:tc>
          <w:tcPr>
            <w:tcW w:w="162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tc>
      </w:tr>
    </w:tbl>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p>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p>
    <w:tbl>
      <w:tblPr>
        <w:tblW w:w="9720" w:type="dxa"/>
        <w:tblInd w:w="-131" w:type="dxa"/>
        <w:tblBorders>
          <w:left w:val="double" w:sz="6" w:space="0" w:color="000000"/>
          <w:right w:val="double" w:sz="6" w:space="0" w:color="000000"/>
          <w:insideH w:val="single" w:sz="6" w:space="0" w:color="000000"/>
          <w:insideV w:val="single" w:sz="6" w:space="0" w:color="000000"/>
        </w:tblBorders>
        <w:tblLayout w:type="fixed"/>
        <w:tblCellMar>
          <w:left w:w="139" w:type="dxa"/>
          <w:right w:w="139" w:type="dxa"/>
        </w:tblCellMar>
        <w:tblLook w:val="0000" w:firstRow="0" w:lastRow="0" w:firstColumn="0" w:lastColumn="0" w:noHBand="0" w:noVBand="0"/>
      </w:tblPr>
      <w:tblGrid>
        <w:gridCol w:w="4097"/>
        <w:gridCol w:w="1303"/>
        <w:gridCol w:w="1341"/>
        <w:gridCol w:w="1303"/>
        <w:gridCol w:w="1676"/>
      </w:tblGrid>
      <w:tr w:rsidR="007B7F93" w:rsidRPr="00BF27EF" w:rsidTr="007E355B">
        <w:tc>
          <w:tcPr>
            <w:tcW w:w="396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Measurement</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No. 3</w:t>
            </w:r>
          </w:p>
        </w:tc>
        <w:tc>
          <w:tcPr>
            <w:tcW w:w="126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Date</w:t>
            </w:r>
          </w:p>
        </w:tc>
        <w:tc>
          <w:tcPr>
            <w:tcW w:w="1296"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Result</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(pmol/mol)</w:t>
            </w:r>
          </w:p>
        </w:tc>
        <w:tc>
          <w:tcPr>
            <w:tcW w:w="126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roofErr w:type="gramStart"/>
            <w:r w:rsidRPr="00BF27EF">
              <w:rPr>
                <w:rFonts w:ascii="Arial" w:eastAsia="Times New Roman" w:hAnsi="Arial" w:cs="Times New Roman"/>
                <w:sz w:val="20"/>
                <w:szCs w:val="20"/>
              </w:rPr>
              <w:t>stand</w:t>
            </w:r>
            <w:proofErr w:type="gramEnd"/>
            <w:r w:rsidRPr="00BF27EF">
              <w:rPr>
                <w:rFonts w:ascii="Arial" w:eastAsia="Times New Roman" w:hAnsi="Arial" w:cs="Times New Roman"/>
                <w:sz w:val="20"/>
                <w:szCs w:val="20"/>
              </w:rPr>
              <w:t>. deviation</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relative)</w:t>
            </w:r>
          </w:p>
        </w:tc>
        <w:tc>
          <w:tcPr>
            <w:tcW w:w="162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of sub-</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measurements</w:t>
            </w:r>
          </w:p>
        </w:tc>
      </w:tr>
      <w:tr w:rsidR="007B7F93" w:rsidRPr="00BF27EF" w:rsidTr="007E355B">
        <w:tc>
          <w:tcPr>
            <w:tcW w:w="396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Dichlorodifluoromethane (CFC-12)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Trichlorofluoromethane (CFC-11)</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1,1,2-Trichlorotrifluoroethane (CFC-113)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1,1,1,2-Tetrafluoroethane (HFC-134a)</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Pr>
                <w:rFonts w:ascii="Arial" w:eastAsia="Times New Roman" w:hAnsi="Arial" w:cs="Times New Roman"/>
                <w:sz w:val="20"/>
                <w:szCs w:val="20"/>
              </w:rPr>
              <w:t>Chlorodifluoromethane</w:t>
            </w:r>
            <w:r w:rsidRPr="00BF27EF">
              <w:rPr>
                <w:rFonts w:ascii="Arial" w:eastAsia="Times New Roman" w:hAnsi="Arial" w:cs="Times New Roman"/>
                <w:sz w:val="20"/>
                <w:szCs w:val="20"/>
              </w:rPr>
              <w:t xml:space="preserve"> (HCFC-22)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1,1-Difluoro-1-chloroethane (HCFC-142b)</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tc>
        <w:tc>
          <w:tcPr>
            <w:tcW w:w="126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09-Feb-12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03-Nov-11</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14-Dec-11</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06-Feb-12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06-Feb-12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06-Feb-12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tc>
        <w:tc>
          <w:tcPr>
            <w:tcW w:w="1296"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528.87</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240.06</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77.68</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62.66</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222.42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21.72</w:t>
            </w:r>
          </w:p>
        </w:tc>
        <w:tc>
          <w:tcPr>
            <w:tcW w:w="126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0.92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0.30</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0.19</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1.11</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1.44</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0.27</w:t>
            </w:r>
          </w:p>
        </w:tc>
        <w:tc>
          <w:tcPr>
            <w:tcW w:w="162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tc>
      </w:tr>
    </w:tbl>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p>
    <w:p w:rsidR="007B7F93" w:rsidRPr="00BF27EF" w:rsidRDefault="007B7F93" w:rsidP="007B7F93">
      <w:pPr>
        <w:rPr>
          <w:rFonts w:ascii="Arial" w:eastAsia="Times New Roman" w:hAnsi="Arial" w:cs="Times New Roman"/>
          <w:sz w:val="20"/>
          <w:szCs w:val="20"/>
        </w:rPr>
      </w:pPr>
      <w:r w:rsidRPr="00BF27EF">
        <w:rPr>
          <w:rFonts w:ascii="Arial" w:eastAsia="Times New Roman" w:hAnsi="Arial" w:cs="Times New Roman"/>
          <w:sz w:val="20"/>
          <w:szCs w:val="20"/>
        </w:rPr>
        <w:br w:type="page"/>
      </w:r>
    </w:p>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p>
    <w:tbl>
      <w:tblPr>
        <w:tblW w:w="9720" w:type="dxa"/>
        <w:tblInd w:w="-131" w:type="dxa"/>
        <w:tblBorders>
          <w:left w:val="double" w:sz="6" w:space="0" w:color="000000"/>
          <w:right w:val="double" w:sz="6" w:space="0" w:color="000000"/>
          <w:insideH w:val="single" w:sz="6" w:space="0" w:color="000000"/>
          <w:insideV w:val="single" w:sz="6" w:space="0" w:color="000000"/>
        </w:tblBorders>
        <w:tblLayout w:type="fixed"/>
        <w:tblCellMar>
          <w:left w:w="139" w:type="dxa"/>
          <w:right w:w="139" w:type="dxa"/>
        </w:tblCellMar>
        <w:tblLook w:val="0000" w:firstRow="0" w:lastRow="0" w:firstColumn="0" w:lastColumn="0" w:noHBand="0" w:noVBand="0"/>
      </w:tblPr>
      <w:tblGrid>
        <w:gridCol w:w="4097"/>
        <w:gridCol w:w="1303"/>
        <w:gridCol w:w="1341"/>
        <w:gridCol w:w="1303"/>
        <w:gridCol w:w="1676"/>
      </w:tblGrid>
      <w:tr w:rsidR="007B7F93" w:rsidRPr="00BF27EF" w:rsidTr="007E355B">
        <w:tc>
          <w:tcPr>
            <w:tcW w:w="396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Measurement</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No. 4</w:t>
            </w:r>
          </w:p>
        </w:tc>
        <w:tc>
          <w:tcPr>
            <w:tcW w:w="126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Date</w:t>
            </w:r>
          </w:p>
        </w:tc>
        <w:tc>
          <w:tcPr>
            <w:tcW w:w="1296"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Result</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(pmol/mol)</w:t>
            </w:r>
          </w:p>
        </w:tc>
        <w:tc>
          <w:tcPr>
            <w:tcW w:w="126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roofErr w:type="gramStart"/>
            <w:r w:rsidRPr="00BF27EF">
              <w:rPr>
                <w:rFonts w:ascii="Arial" w:eastAsia="Times New Roman" w:hAnsi="Arial" w:cs="Times New Roman"/>
                <w:sz w:val="20"/>
                <w:szCs w:val="20"/>
              </w:rPr>
              <w:t>stand</w:t>
            </w:r>
            <w:proofErr w:type="gramEnd"/>
            <w:r w:rsidRPr="00BF27EF">
              <w:rPr>
                <w:rFonts w:ascii="Arial" w:eastAsia="Times New Roman" w:hAnsi="Arial" w:cs="Times New Roman"/>
                <w:sz w:val="20"/>
                <w:szCs w:val="20"/>
              </w:rPr>
              <w:t>. deviation</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relative)</w:t>
            </w:r>
          </w:p>
        </w:tc>
        <w:tc>
          <w:tcPr>
            <w:tcW w:w="162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of sub-</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measurements</w:t>
            </w:r>
          </w:p>
        </w:tc>
      </w:tr>
      <w:tr w:rsidR="007B7F93" w:rsidRPr="00BF27EF" w:rsidTr="007E355B">
        <w:tc>
          <w:tcPr>
            <w:tcW w:w="396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Dichlorodifluoromethane (CFC-12)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Trichlorofluoromethane (CFC-11)</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1,1,2-Trichlorotrifluoroethane (CFC-113)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1,1,1,2-Tetrafluoroethane (HFC-134a)</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Pr>
                <w:rFonts w:ascii="Arial" w:eastAsia="Times New Roman" w:hAnsi="Arial" w:cs="Times New Roman"/>
                <w:sz w:val="20"/>
                <w:szCs w:val="20"/>
              </w:rPr>
              <w:t>Chlorodifluoromethane</w:t>
            </w:r>
            <w:r w:rsidRPr="00BF27EF">
              <w:rPr>
                <w:rFonts w:ascii="Arial" w:eastAsia="Times New Roman" w:hAnsi="Arial" w:cs="Times New Roman"/>
                <w:sz w:val="20"/>
                <w:szCs w:val="20"/>
              </w:rPr>
              <w:t xml:space="preserve"> (HCFC-22)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1,1-Difluoro-1-chloroethane (HCFC-142b)</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tc>
        <w:tc>
          <w:tcPr>
            <w:tcW w:w="126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03-Nov-11</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tc>
        <w:tc>
          <w:tcPr>
            <w:tcW w:w="1296"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240.06</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tc>
        <w:tc>
          <w:tcPr>
            <w:tcW w:w="126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0.30</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tc>
        <w:tc>
          <w:tcPr>
            <w:tcW w:w="162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tc>
      </w:tr>
    </w:tbl>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p>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p>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Summary Results:</w:t>
      </w:r>
    </w:p>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p>
    <w:tbl>
      <w:tblPr>
        <w:tblW w:w="9630" w:type="dxa"/>
        <w:tblInd w:w="-131" w:type="dxa"/>
        <w:tblBorders>
          <w:left w:val="double" w:sz="6" w:space="0" w:color="000000"/>
          <w:right w:val="double" w:sz="6" w:space="0" w:color="000000"/>
          <w:insideH w:val="single" w:sz="6" w:space="0" w:color="000000"/>
          <w:insideV w:val="single" w:sz="6" w:space="0" w:color="000000"/>
        </w:tblBorders>
        <w:tblLayout w:type="fixed"/>
        <w:tblCellMar>
          <w:left w:w="139" w:type="dxa"/>
          <w:right w:w="139" w:type="dxa"/>
        </w:tblCellMar>
        <w:tblLook w:val="0000" w:firstRow="0" w:lastRow="0" w:firstColumn="0" w:lastColumn="0" w:noHBand="0" w:noVBand="0"/>
      </w:tblPr>
      <w:tblGrid>
        <w:gridCol w:w="4081"/>
        <w:gridCol w:w="2227"/>
        <w:gridCol w:w="1188"/>
        <w:gridCol w:w="2134"/>
      </w:tblGrid>
      <w:tr w:rsidR="007B7F93" w:rsidRPr="00BF27EF" w:rsidTr="007E355B">
        <w:tc>
          <w:tcPr>
            <w:tcW w:w="396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Gas Mixture Component</w:t>
            </w:r>
          </w:p>
        </w:tc>
        <w:tc>
          <w:tcPr>
            <w:tcW w:w="216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Result</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(assigned value)</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pmol/mol (ppt)</w:t>
            </w:r>
          </w:p>
        </w:tc>
        <w:tc>
          <w:tcPr>
            <w:tcW w:w="1152"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Coverage</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factor</w:t>
            </w:r>
          </w:p>
        </w:tc>
        <w:tc>
          <w:tcPr>
            <w:tcW w:w="2070" w:type="dxa"/>
            <w:tcBorders>
              <w:top w:val="double" w:sz="6" w:space="0" w:color="000000"/>
            </w:tcBorders>
            <w:shd w:val="pct10" w:color="000000" w:fill="FFFFFF"/>
          </w:tcPr>
          <w:p w:rsidR="007B7F93" w:rsidRPr="00BF27EF" w:rsidRDefault="007B7F93" w:rsidP="007E355B">
            <w:pPr>
              <w:widowControl w:val="0"/>
              <w:spacing w:after="0" w:line="201"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Assigned expanded</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Uncertainty</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pmol/mol (ppt)</w:t>
            </w:r>
          </w:p>
        </w:tc>
      </w:tr>
      <w:tr w:rsidR="007B7F93" w:rsidRPr="00BF27EF" w:rsidTr="007E355B">
        <w:tc>
          <w:tcPr>
            <w:tcW w:w="396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Dichlorodifluoromethane (CFC-12)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Trichlorofluoromethane (CFC-11)</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1,1,2-Trichlorotrifluoroethane (CFC-113)</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1,1,1,2-Tetrafluoroethane (HFC-134a)</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Pr>
                <w:rFonts w:ascii="Arial" w:eastAsia="Times New Roman" w:hAnsi="Arial" w:cs="Times New Roman"/>
                <w:sz w:val="20"/>
                <w:szCs w:val="20"/>
              </w:rPr>
              <w:t>Chlorodifluoromethane</w:t>
            </w:r>
            <w:r w:rsidRPr="00BF27EF">
              <w:rPr>
                <w:rFonts w:ascii="Arial" w:eastAsia="Times New Roman" w:hAnsi="Arial" w:cs="Times New Roman"/>
                <w:sz w:val="20"/>
                <w:szCs w:val="20"/>
              </w:rPr>
              <w:t xml:space="preserve"> (HCFC-22)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1,1-Difluoro-1-chloroethane (HCFC-142b)</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tc>
        <w:tc>
          <w:tcPr>
            <w:tcW w:w="216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529.6</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240.7</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77.68</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63.4</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221.5</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  21.77</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p>
        </w:tc>
        <w:tc>
          <w:tcPr>
            <w:tcW w:w="1152"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w:t>
            </w:r>
          </w:p>
        </w:tc>
        <w:tc>
          <w:tcPr>
            <w:tcW w:w="2070" w:type="dxa"/>
            <w:tcBorders>
              <w:bottom w:val="double" w:sz="6" w:space="0" w:color="000000"/>
            </w:tcBorders>
          </w:tcPr>
          <w:p w:rsidR="007B7F93" w:rsidRPr="00BF27EF" w:rsidRDefault="007B7F93" w:rsidP="007E355B">
            <w:pPr>
              <w:widowControl w:val="0"/>
              <w:spacing w:after="0" w:line="163" w:lineRule="exact"/>
              <w:rPr>
                <w:rFonts w:ascii="Arial" w:eastAsia="Times New Roman" w:hAnsi="Arial" w:cs="Times New Roman"/>
                <w:sz w:val="20"/>
                <w:szCs w:val="20"/>
              </w:rPr>
            </w:pP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3.4</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0.8</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0.38</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2.2</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3.0</w:t>
            </w:r>
          </w:p>
          <w:p w:rsidR="007B7F93" w:rsidRPr="00BF27EF" w:rsidRDefault="007B7F93" w:rsidP="007E355B">
            <w:pPr>
              <w:widowControl w:val="0"/>
              <w:tabs>
                <w:tab w:val="left" w:pos="283"/>
                <w:tab w:val="left" w:pos="1190"/>
                <w:tab w:val="left" w:pos="1790"/>
                <w:tab w:val="left" w:pos="2301"/>
                <w:tab w:val="left" w:pos="3151"/>
                <w:tab w:val="left" w:pos="3688"/>
                <w:tab w:val="left" w:pos="4341"/>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0.54</w:t>
            </w:r>
          </w:p>
        </w:tc>
      </w:tr>
    </w:tbl>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p>
    <w:p w:rsidR="007B7F93" w:rsidRPr="00BF27EF" w:rsidRDefault="007B7F93" w:rsidP="007B7F93">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u w:val="single"/>
        </w:rPr>
      </w:pPr>
      <w:r w:rsidRPr="00BF27EF">
        <w:rPr>
          <w:rFonts w:ascii="Arial" w:eastAsia="Times New Roman" w:hAnsi="Arial" w:cs="Times New Roman"/>
          <w:sz w:val="20"/>
          <w:szCs w:val="20"/>
          <w:u w:val="single"/>
        </w:rPr>
        <w:t>Reference Method:</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Describe your instrument(s) (principles, make, type, configuration, data collection etc.):</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p>
    <w:p w:rsidR="007B7F93" w:rsidRPr="00BF27EF" w:rsidRDefault="007B7F93" w:rsidP="007B7F93">
      <w:pPr>
        <w:spacing w:after="120" w:line="240" w:lineRule="auto"/>
        <w:rPr>
          <w:rFonts w:ascii="Times New Roman" w:eastAsia="Batang" w:hAnsi="Times New Roman" w:cs="Times New Roman"/>
          <w:szCs w:val="20"/>
          <w:lang w:val="en-GB" w:eastAsia="ko-KR"/>
        </w:rPr>
      </w:pPr>
      <w:r w:rsidRPr="00BF27EF">
        <w:rPr>
          <w:rFonts w:ascii="Times New Roman" w:eastAsia="Batang" w:hAnsi="Times New Roman" w:cs="Times New Roman"/>
          <w:szCs w:val="20"/>
          <w:lang w:val="en-GB" w:eastAsia="ko-KR"/>
        </w:rPr>
        <w:t xml:space="preserve">An HP 5890 Gas Chromatograph (NIST #: 597806) equipped with an electron capture detector (ECD) operated at 320°C was used to </w:t>
      </w:r>
      <w:proofErr w:type="spellStart"/>
      <w:r w:rsidRPr="00BF27EF">
        <w:rPr>
          <w:rFonts w:ascii="Times New Roman" w:eastAsia="Batang" w:hAnsi="Times New Roman" w:cs="Times New Roman"/>
          <w:szCs w:val="20"/>
          <w:lang w:val="en-GB" w:eastAsia="ko-KR"/>
        </w:rPr>
        <w:t>analyze</w:t>
      </w:r>
      <w:proofErr w:type="spellEnd"/>
      <w:r w:rsidRPr="00BF27EF">
        <w:rPr>
          <w:rFonts w:ascii="Times New Roman" w:eastAsia="Batang" w:hAnsi="Times New Roman" w:cs="Times New Roman"/>
          <w:szCs w:val="20"/>
          <w:lang w:val="en-GB" w:eastAsia="ko-KR"/>
        </w:rPr>
        <w:t xml:space="preserve"> CFC-12, CFC-11 and CFC-113. </w:t>
      </w:r>
    </w:p>
    <w:p w:rsidR="007B7F93" w:rsidRPr="00BF27EF" w:rsidRDefault="007B7F93" w:rsidP="007B7F93">
      <w:pPr>
        <w:spacing w:after="120" w:line="240" w:lineRule="auto"/>
        <w:rPr>
          <w:rFonts w:ascii="Times New Roman" w:eastAsia="Batang" w:hAnsi="Times New Roman" w:cs="Times New Roman"/>
          <w:szCs w:val="20"/>
          <w:lang w:val="en-GB" w:eastAsia="ko-KR"/>
        </w:rPr>
      </w:pPr>
      <w:r w:rsidRPr="00BF27EF">
        <w:rPr>
          <w:rFonts w:ascii="Times New Roman" w:eastAsia="Batang" w:hAnsi="Times New Roman" w:cs="Times New Roman"/>
          <w:szCs w:val="20"/>
          <w:lang w:val="en-GB" w:eastAsia="ko-KR"/>
        </w:rPr>
        <w:t xml:space="preserve">CFC-12 and CFC-11: A 0.914 m x 3.81 cm stainless steel column packed with Porapak Q, 60°C for 10 min then to 120°C at 60°C/min held 2 min then to 60°C at 60°C/min;  30 mL/min nitrogen carrier flow rate; 5 mL sample injected onto column; </w:t>
      </w:r>
    </w:p>
    <w:p w:rsidR="007B7F93" w:rsidRPr="00BF27EF" w:rsidRDefault="007B7F93" w:rsidP="007B7F93">
      <w:pPr>
        <w:spacing w:after="120" w:line="240" w:lineRule="auto"/>
        <w:rPr>
          <w:rFonts w:ascii="Times New Roman" w:eastAsia="Batang" w:hAnsi="Times New Roman" w:cs="Times New Roman"/>
          <w:szCs w:val="20"/>
          <w:lang w:val="en-GB" w:eastAsia="ko-KR"/>
        </w:rPr>
      </w:pPr>
      <w:r w:rsidRPr="00BF27EF">
        <w:rPr>
          <w:rFonts w:ascii="Times New Roman" w:eastAsia="Batang" w:hAnsi="Times New Roman" w:cs="Times New Roman"/>
          <w:szCs w:val="20"/>
          <w:lang w:val="en-GB" w:eastAsia="ko-KR"/>
        </w:rPr>
        <w:t>CFC-113: A 0.914 m x 0.32 cm stainless steel column packed with Porapak Q, 150°C for 10;  30 mL/min nitrogen carrier flow rate; 5 mL sample injected onto column.</w:t>
      </w:r>
    </w:p>
    <w:p w:rsidR="007B7F93" w:rsidRPr="00BF27EF" w:rsidRDefault="007B7F93" w:rsidP="007B7F93">
      <w:pPr>
        <w:spacing w:after="120" w:line="240" w:lineRule="auto"/>
        <w:rPr>
          <w:rFonts w:ascii="Times New Roman" w:eastAsia="Batang" w:hAnsi="Times New Roman" w:cs="Times New Roman"/>
          <w:szCs w:val="20"/>
          <w:lang w:val="en-GB" w:eastAsia="ko-KR"/>
        </w:rPr>
      </w:pPr>
      <w:r w:rsidRPr="00BF27EF">
        <w:rPr>
          <w:rFonts w:ascii="Times New Roman" w:eastAsia="Batang" w:hAnsi="Times New Roman" w:cs="Times New Roman"/>
          <w:szCs w:val="20"/>
          <w:lang w:val="en-GB" w:eastAsia="ko-KR"/>
        </w:rPr>
        <w:t xml:space="preserve">An Agilent 6890 Gas Chromatograph (NIST #: 607135) equipped with </w:t>
      </w:r>
      <w:proofErr w:type="gramStart"/>
      <w:r w:rsidRPr="00BF27EF">
        <w:rPr>
          <w:rFonts w:ascii="Times New Roman" w:eastAsia="Batang" w:hAnsi="Times New Roman" w:cs="Times New Roman"/>
          <w:szCs w:val="20"/>
          <w:lang w:val="en-GB" w:eastAsia="ko-KR"/>
        </w:rPr>
        <w:t>an</w:t>
      </w:r>
      <w:proofErr w:type="gramEnd"/>
      <w:r w:rsidRPr="00BF27EF">
        <w:rPr>
          <w:rFonts w:ascii="Times New Roman" w:eastAsia="Batang" w:hAnsi="Times New Roman" w:cs="Times New Roman"/>
          <w:szCs w:val="20"/>
          <w:lang w:val="en-GB" w:eastAsia="ko-KR"/>
        </w:rPr>
        <w:t xml:space="preserve"> flame ionization detector (FID) operated at 250°C was used to </w:t>
      </w:r>
      <w:proofErr w:type="spellStart"/>
      <w:r w:rsidRPr="00BF27EF">
        <w:rPr>
          <w:rFonts w:ascii="Times New Roman" w:eastAsia="Batang" w:hAnsi="Times New Roman" w:cs="Times New Roman"/>
          <w:szCs w:val="20"/>
          <w:lang w:val="en-GB" w:eastAsia="ko-KR"/>
        </w:rPr>
        <w:t>analyze</w:t>
      </w:r>
      <w:proofErr w:type="spellEnd"/>
      <w:r w:rsidRPr="00BF27EF">
        <w:rPr>
          <w:rFonts w:ascii="Times New Roman" w:eastAsia="Batang" w:hAnsi="Times New Roman" w:cs="Times New Roman"/>
          <w:szCs w:val="20"/>
          <w:lang w:val="en-GB" w:eastAsia="ko-KR"/>
        </w:rPr>
        <w:t xml:space="preserve"> HFC-134a, HCFC-22 and HCFC-142b.  A 30m x 0.32mm capillary column coated with GS-GASPRO at 40°C for 8 min to 160°C at 10°C/min to 220°C at 20°C/min; 1.5 mL/min helium column flow rate with 43.5 mL/min helium make-up flow.  1500 mL of sample was collected using an Entech 7100 automatic preconcentrator (NIST #: 620102) and cryofocused on the head on the capillary column.</w:t>
      </w:r>
    </w:p>
    <w:p w:rsidR="007B7F93" w:rsidRPr="00BF27EF" w:rsidRDefault="007B7F93" w:rsidP="007B7F93">
      <w:pPr>
        <w:spacing w:after="120" w:line="240" w:lineRule="auto"/>
        <w:rPr>
          <w:rFonts w:ascii="Times New Roman" w:eastAsia="Batang" w:hAnsi="Times New Roman" w:cs="Times New Roman"/>
          <w:szCs w:val="20"/>
          <w:lang w:val="en-GB" w:eastAsia="ko-KR"/>
        </w:rPr>
      </w:pPr>
      <w:r w:rsidRPr="00BF27EF">
        <w:rPr>
          <w:rFonts w:ascii="Times New Roman" w:eastAsia="Batang" w:hAnsi="Times New Roman" w:cs="Times New Roman"/>
          <w:szCs w:val="20"/>
          <w:lang w:val="en-GB" w:eastAsia="ko-KR"/>
        </w:rPr>
        <w:t xml:space="preserve">HP </w:t>
      </w:r>
      <w:proofErr w:type="spellStart"/>
      <w:r w:rsidRPr="00BF27EF">
        <w:rPr>
          <w:rFonts w:ascii="Times New Roman" w:eastAsia="Batang" w:hAnsi="Times New Roman" w:cs="Times New Roman"/>
          <w:szCs w:val="20"/>
          <w:lang w:val="en-GB" w:eastAsia="ko-KR"/>
        </w:rPr>
        <w:t>Chemstation</w:t>
      </w:r>
      <w:proofErr w:type="spellEnd"/>
      <w:r w:rsidRPr="00BF27EF">
        <w:rPr>
          <w:rFonts w:ascii="Times New Roman" w:eastAsia="Batang" w:hAnsi="Times New Roman" w:cs="Times New Roman"/>
          <w:szCs w:val="20"/>
          <w:lang w:val="en-GB" w:eastAsia="ko-KR"/>
        </w:rPr>
        <w:t xml:space="preserve"> data system was used for peak area integration with the data transferred to Excel via macro program.</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Times New Roman" w:eastAsia="Times New Roman" w:hAnsi="Times New Roman" w:cs="Times New Roman"/>
          <w:u w:val="single"/>
        </w:rPr>
      </w:pPr>
      <w:r w:rsidRPr="00BF27EF">
        <w:rPr>
          <w:rFonts w:ascii="Times New Roman" w:eastAsia="Times New Roman" w:hAnsi="Times New Roman" w:cs="Times New Roman"/>
          <w:u w:val="single"/>
        </w:rPr>
        <w:t>Calibration Standards:</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Times New Roman" w:eastAsia="Times New Roman" w:hAnsi="Times New Roman" w:cs="Times New Roman"/>
        </w:rPr>
      </w:pPr>
      <w:r w:rsidRPr="00BF27EF">
        <w:rPr>
          <w:rFonts w:ascii="Times New Roman" w:eastAsia="Times New Roman" w:hAnsi="Times New Roman" w:cs="Times New Roman"/>
        </w:rPr>
        <w:t>Describe your Calibration Standards for the measurements (preparation method, purity analyses,</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Times New Roman" w:eastAsia="Times New Roman" w:hAnsi="Times New Roman" w:cs="Times New Roman"/>
        </w:rPr>
      </w:pPr>
      <w:proofErr w:type="gramStart"/>
      <w:r w:rsidRPr="00BF27EF">
        <w:rPr>
          <w:rFonts w:ascii="Times New Roman" w:eastAsia="Times New Roman" w:hAnsi="Times New Roman" w:cs="Times New Roman"/>
        </w:rPr>
        <w:t>estimated</w:t>
      </w:r>
      <w:proofErr w:type="gramEnd"/>
      <w:r w:rsidRPr="00BF27EF">
        <w:rPr>
          <w:rFonts w:ascii="Times New Roman" w:eastAsia="Times New Roman" w:hAnsi="Times New Roman" w:cs="Times New Roman"/>
        </w:rPr>
        <w:t xml:space="preserve"> uncertainty etc.): </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Times New Roman" w:eastAsia="Times New Roman" w:hAnsi="Times New Roman" w:cs="Times New Roman"/>
        </w:rPr>
      </w:pPr>
    </w:p>
    <w:p w:rsidR="007B7F93" w:rsidRPr="00BF27EF" w:rsidRDefault="007B7F93" w:rsidP="007B7F93">
      <w:pPr>
        <w:spacing w:after="120" w:line="240" w:lineRule="auto"/>
        <w:rPr>
          <w:rFonts w:ascii="Times New Roman" w:eastAsia="Batang" w:hAnsi="Times New Roman" w:cs="Times New Roman"/>
          <w:szCs w:val="20"/>
          <w:lang w:val="en-GB" w:eastAsia="ko-KR"/>
        </w:rPr>
      </w:pPr>
      <w:r w:rsidRPr="00BF27EF">
        <w:rPr>
          <w:rFonts w:ascii="Times New Roman" w:eastAsia="Batang" w:hAnsi="Times New Roman" w:cs="Times New Roman"/>
          <w:szCs w:val="20"/>
          <w:lang w:val="en-GB" w:eastAsia="ko-KR"/>
        </w:rPr>
        <w:t xml:space="preserve">Primary standards were prepared by gravimetry starting from pure components.  Each pure halocarbon was </w:t>
      </w:r>
      <w:proofErr w:type="spellStart"/>
      <w:r w:rsidRPr="00BF27EF">
        <w:rPr>
          <w:rFonts w:ascii="Times New Roman" w:eastAsia="Batang" w:hAnsi="Times New Roman" w:cs="Times New Roman"/>
          <w:szCs w:val="20"/>
          <w:lang w:val="en-GB" w:eastAsia="ko-KR"/>
        </w:rPr>
        <w:t>analyzed</w:t>
      </w:r>
      <w:proofErr w:type="spellEnd"/>
      <w:r w:rsidRPr="00BF27EF">
        <w:rPr>
          <w:rFonts w:ascii="Times New Roman" w:eastAsia="Batang" w:hAnsi="Times New Roman" w:cs="Times New Roman"/>
          <w:szCs w:val="20"/>
          <w:lang w:val="en-GB" w:eastAsia="ko-KR"/>
        </w:rPr>
        <w:t xml:space="preserve"> for purity by preparing an individual lower concentration standard using ultra high purity nitrogen as the matrix gas.  The UHP nitrogen was </w:t>
      </w:r>
      <w:proofErr w:type="spellStart"/>
      <w:r w:rsidRPr="00BF27EF">
        <w:rPr>
          <w:rFonts w:ascii="Times New Roman" w:eastAsia="Batang" w:hAnsi="Times New Roman" w:cs="Times New Roman"/>
          <w:szCs w:val="20"/>
          <w:lang w:val="en-GB" w:eastAsia="ko-KR"/>
        </w:rPr>
        <w:t>analyzed</w:t>
      </w:r>
      <w:proofErr w:type="spellEnd"/>
      <w:r w:rsidRPr="00BF27EF">
        <w:rPr>
          <w:rFonts w:ascii="Times New Roman" w:eastAsia="Batang" w:hAnsi="Times New Roman" w:cs="Times New Roman"/>
          <w:szCs w:val="20"/>
          <w:lang w:val="en-GB" w:eastAsia="ko-KR"/>
        </w:rPr>
        <w:t xml:space="preserve"> for the presence of each halocarbon using GC/ECD.  The matrix synthetic air used to prepare the atmospheric level standards was </w:t>
      </w:r>
      <w:proofErr w:type="spellStart"/>
      <w:r w:rsidRPr="00BF27EF">
        <w:rPr>
          <w:rFonts w:ascii="Times New Roman" w:eastAsia="Batang" w:hAnsi="Times New Roman" w:cs="Times New Roman"/>
          <w:szCs w:val="20"/>
          <w:lang w:val="en-GB" w:eastAsia="ko-KR"/>
        </w:rPr>
        <w:t>analyzed</w:t>
      </w:r>
      <w:proofErr w:type="spellEnd"/>
      <w:r w:rsidRPr="00BF27EF">
        <w:rPr>
          <w:rFonts w:ascii="Times New Roman" w:eastAsia="Batang" w:hAnsi="Times New Roman" w:cs="Times New Roman"/>
          <w:szCs w:val="20"/>
          <w:lang w:val="en-GB" w:eastAsia="ko-KR"/>
        </w:rPr>
        <w:t xml:space="preserve"> for each halocarbon by collecting 1500 mL and </w:t>
      </w:r>
      <w:proofErr w:type="spellStart"/>
      <w:r w:rsidRPr="00BF27EF">
        <w:rPr>
          <w:rFonts w:ascii="Times New Roman" w:eastAsia="Batang" w:hAnsi="Times New Roman" w:cs="Times New Roman"/>
          <w:szCs w:val="20"/>
          <w:lang w:val="en-GB" w:eastAsia="ko-KR"/>
        </w:rPr>
        <w:t>analyzing</w:t>
      </w:r>
      <w:proofErr w:type="spellEnd"/>
      <w:r w:rsidRPr="00BF27EF">
        <w:rPr>
          <w:rFonts w:ascii="Times New Roman" w:eastAsia="Batang" w:hAnsi="Times New Roman" w:cs="Times New Roman"/>
          <w:szCs w:val="20"/>
          <w:lang w:val="en-GB" w:eastAsia="ko-KR"/>
        </w:rPr>
        <w:t xml:space="preserve"> by GC/ECD. The purity of the halocarbons is as follows: CFC-12 99.98 %; CFC-11 99.95 %; CFC-113 99.98 %; HFC-134a 99.9 %; HCFC-22 99.9 %; HCFC-142b 99.9 %.</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Times New Roman" w:eastAsia="Times New Roman" w:hAnsi="Times New Roman" w:cs="Times New Roman"/>
        </w:rPr>
      </w:pPr>
      <w:r w:rsidRPr="00BF27EF">
        <w:rPr>
          <w:rFonts w:ascii="Times New Roman" w:eastAsia="Batang" w:hAnsi="Times New Roman" w:cs="Times New Roman"/>
          <w:szCs w:val="20"/>
          <w:lang w:val="en-GB" w:eastAsia="ko-KR"/>
        </w:rPr>
        <w:t>The uncertainty in the primary gravimetric standards follow and are given as relative % and represent a</w:t>
      </w:r>
      <w:r w:rsidRPr="00BF27EF">
        <w:rPr>
          <w:rFonts w:ascii="Times New Roman" w:eastAsia="Times New Roman" w:hAnsi="Times New Roman" w:cs="Times New Roman"/>
        </w:rPr>
        <w:t xml:space="preserve"> </w:t>
      </w:r>
      <w:r w:rsidRPr="00BF27EF">
        <w:rPr>
          <w:rFonts w:ascii="Times New Roman" w:eastAsia="Times New Roman" w:hAnsi="Times New Roman" w:cs="Times New Roman"/>
          <w:i/>
        </w:rPr>
        <w:t>k=</w:t>
      </w:r>
      <w:r w:rsidRPr="00BF27EF">
        <w:rPr>
          <w:rFonts w:ascii="Times New Roman" w:eastAsia="Times New Roman" w:hAnsi="Times New Roman" w:cs="Times New Roman"/>
        </w:rPr>
        <w:t>1 value: CFC-12 ± 0.1 %; CFC-11 ± 0.1 %; CFC-113 ± 0.4 %; HFC-134a ± 2.0 %; HCFC-22 ± 0.3 %; HCFC-142b ± 2.2 %.</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Times New Roman" w:eastAsia="Times New Roman" w:hAnsi="Times New Roman" w:cs="Times New Roman"/>
        </w:rPr>
      </w:pPr>
    </w:p>
    <w:p w:rsidR="007B7F93" w:rsidRPr="00BF27EF" w:rsidRDefault="007B7F93" w:rsidP="007B7F93">
      <w:pPr>
        <w:widowControl w:val="0"/>
        <w:tabs>
          <w:tab w:val="left" w:pos="283"/>
          <w:tab w:val="left" w:pos="1190"/>
          <w:tab w:val="right" w:pos="3410"/>
          <w:tab w:val="left" w:pos="3688"/>
        </w:tabs>
        <w:spacing w:after="0" w:line="240" w:lineRule="auto"/>
        <w:jc w:val="both"/>
        <w:rPr>
          <w:rFonts w:ascii="Times New Roman" w:eastAsia="Times New Roman" w:hAnsi="Times New Roman" w:cs="Times New Roman"/>
          <w:u w:val="single"/>
        </w:rPr>
      </w:pPr>
      <w:r w:rsidRPr="00BF27EF">
        <w:rPr>
          <w:rFonts w:ascii="Times New Roman" w:eastAsia="Times New Roman" w:hAnsi="Times New Roman" w:cs="Times New Roman"/>
          <w:u w:val="single"/>
        </w:rPr>
        <w:t>Instrument Calibration:</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Times New Roman" w:eastAsia="Times New Roman" w:hAnsi="Times New Roman" w:cs="Times New Roman"/>
        </w:rPr>
      </w:pPr>
      <w:r w:rsidRPr="00BF27EF">
        <w:rPr>
          <w:rFonts w:ascii="Times New Roman" w:eastAsia="Times New Roman" w:hAnsi="Times New Roman" w:cs="Times New Roman"/>
        </w:rPr>
        <w:t>Describe your Calibration procedure (mathematical model/calibration curve, number and concentrations of standards, measurement sequence, temperature/pressure correction etc.):</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Times New Roman" w:eastAsia="Times New Roman" w:hAnsi="Times New Roman" w:cs="Times New Roman"/>
        </w:rPr>
      </w:pPr>
      <w:r w:rsidRPr="00BF27EF">
        <w:rPr>
          <w:rFonts w:ascii="Times New Roman" w:eastAsia="Times New Roman" w:hAnsi="Times New Roman" w:cs="Times New Roman"/>
        </w:rPr>
        <w:t xml:space="preserve">The gravimetric standards used for the determination of halocarbons in </w:t>
      </w:r>
      <w:proofErr w:type="gramStart"/>
      <w:r w:rsidRPr="00BF27EF">
        <w:rPr>
          <w:rFonts w:ascii="Times New Roman" w:eastAsia="Times New Roman" w:hAnsi="Times New Roman" w:cs="Times New Roman"/>
        </w:rPr>
        <w:t>the  sample</w:t>
      </w:r>
      <w:proofErr w:type="gramEnd"/>
      <w:r w:rsidRPr="00BF27EF">
        <w:rPr>
          <w:rFonts w:ascii="Times New Roman" w:eastAsia="Times New Roman" w:hAnsi="Times New Roman" w:cs="Times New Roman"/>
        </w:rPr>
        <w:t>, AAL073358, are given below:</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Times New Roman" w:eastAsia="Times New Roman" w:hAnsi="Times New Roman" w:cs="Times New Roman"/>
        </w:rPr>
      </w:pPr>
    </w:p>
    <w:p w:rsidR="007B7F93" w:rsidRPr="00BF27EF" w:rsidRDefault="007B7F93" w:rsidP="007B7F93">
      <w:pPr>
        <w:spacing w:after="0" w:line="240" w:lineRule="auto"/>
        <w:rPr>
          <w:rFonts w:ascii="Times New Roman" w:eastAsia="Times New Roman" w:hAnsi="Times New Roman" w:cs="Times New Roman"/>
          <w:sz w:val="18"/>
          <w:szCs w:val="18"/>
        </w:rPr>
      </w:pPr>
      <w:r w:rsidRPr="00BF27EF">
        <w:rPr>
          <w:rFonts w:ascii="Times New Roman" w:eastAsia="Times New Roman" w:hAnsi="Times New Roman" w:cs="Times New Roman"/>
          <w:sz w:val="18"/>
          <w:szCs w:val="18"/>
        </w:rPr>
        <w:t>PSM</w:t>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t xml:space="preserve"> </w:t>
      </w:r>
      <w:r w:rsidRPr="00BF27EF">
        <w:rPr>
          <w:rFonts w:ascii="Times New Roman" w:eastAsia="Times New Roman" w:hAnsi="Times New Roman" w:cs="Times New Roman"/>
          <w:sz w:val="18"/>
          <w:szCs w:val="18"/>
        </w:rPr>
        <w:tab/>
        <w:t>--------------------------Gravimetric Concentration, pmol/mol (ppt</w:t>
      </w:r>
      <w:proofErr w:type="gramStart"/>
      <w:r w:rsidRPr="00BF27EF">
        <w:rPr>
          <w:rFonts w:ascii="Times New Roman" w:eastAsia="Times New Roman" w:hAnsi="Times New Roman" w:cs="Times New Roman"/>
          <w:sz w:val="18"/>
          <w:szCs w:val="18"/>
        </w:rPr>
        <w:t>)</w:t>
      </w:r>
      <w:r w:rsidRPr="00BF27EF">
        <w:rPr>
          <w:rFonts w:ascii="Times New Roman" w:eastAsia="Times New Roman" w:hAnsi="Times New Roman" w:cs="Times New Roman"/>
          <w:sz w:val="18"/>
          <w:szCs w:val="18"/>
          <w:vertAlign w:val="superscript"/>
        </w:rPr>
        <w:t>a</w:t>
      </w:r>
      <w:proofErr w:type="gramEnd"/>
      <w:r w:rsidRPr="00BF27EF">
        <w:rPr>
          <w:rFonts w:ascii="Times New Roman" w:eastAsia="Times New Roman" w:hAnsi="Times New Roman" w:cs="Times New Roman"/>
          <w:sz w:val="18"/>
          <w:szCs w:val="18"/>
        </w:rPr>
        <w:t>-----------------</w:t>
      </w:r>
    </w:p>
    <w:p w:rsidR="007B7F93" w:rsidRPr="00BF27EF" w:rsidRDefault="007B7F93" w:rsidP="007B7F93">
      <w:pPr>
        <w:spacing w:after="0" w:line="240" w:lineRule="auto"/>
        <w:rPr>
          <w:rFonts w:ascii="Times New Roman" w:eastAsia="Times New Roman" w:hAnsi="Times New Roman" w:cs="Times New Roman"/>
          <w:sz w:val="18"/>
          <w:szCs w:val="18"/>
          <w:u w:val="single"/>
        </w:rPr>
      </w:pPr>
      <w:r w:rsidRPr="00BF27EF">
        <w:rPr>
          <w:rFonts w:ascii="Times New Roman" w:eastAsia="Times New Roman" w:hAnsi="Times New Roman" w:cs="Times New Roman"/>
          <w:sz w:val="18"/>
          <w:szCs w:val="18"/>
          <w:u w:val="single"/>
        </w:rPr>
        <w:t>Cylinder #</w:t>
      </w:r>
      <w:r w:rsidRPr="00BF27EF">
        <w:rPr>
          <w:rFonts w:ascii="Times New Roman" w:eastAsia="Times New Roman" w:hAnsi="Times New Roman" w:cs="Times New Roman"/>
          <w:sz w:val="18"/>
          <w:szCs w:val="18"/>
          <w:u w:val="single"/>
        </w:rPr>
        <w:tab/>
        <w:t>Year</w:t>
      </w:r>
      <w:r w:rsidRPr="00BF27EF">
        <w:rPr>
          <w:rFonts w:ascii="Times New Roman" w:eastAsia="Times New Roman" w:hAnsi="Times New Roman" w:cs="Times New Roman"/>
          <w:sz w:val="18"/>
          <w:szCs w:val="18"/>
          <w:u w:val="single"/>
        </w:rPr>
        <w:tab/>
        <w:t>CFC-12</w:t>
      </w:r>
      <w:r w:rsidRPr="00BF27EF">
        <w:rPr>
          <w:rFonts w:ascii="Times New Roman" w:eastAsia="Times New Roman" w:hAnsi="Times New Roman" w:cs="Times New Roman"/>
          <w:sz w:val="18"/>
          <w:szCs w:val="18"/>
          <w:u w:val="single"/>
        </w:rPr>
        <w:tab/>
        <w:t xml:space="preserve">     CFC-11</w:t>
      </w:r>
      <w:r w:rsidRPr="00BF27EF">
        <w:rPr>
          <w:rFonts w:ascii="Times New Roman" w:eastAsia="Times New Roman" w:hAnsi="Times New Roman" w:cs="Times New Roman"/>
          <w:sz w:val="18"/>
          <w:szCs w:val="18"/>
          <w:u w:val="single"/>
        </w:rPr>
        <w:tab/>
        <w:t>CFC-113         HCFC-22</w:t>
      </w:r>
      <w:r w:rsidRPr="00BF27EF">
        <w:rPr>
          <w:rFonts w:ascii="Times New Roman" w:eastAsia="Times New Roman" w:hAnsi="Times New Roman" w:cs="Times New Roman"/>
          <w:sz w:val="18"/>
          <w:szCs w:val="18"/>
          <w:u w:val="single"/>
        </w:rPr>
        <w:tab/>
        <w:t>HCFC-142b</w:t>
      </w:r>
      <w:r w:rsidRPr="00BF27EF">
        <w:rPr>
          <w:rFonts w:ascii="Times New Roman" w:eastAsia="Times New Roman" w:hAnsi="Times New Roman" w:cs="Times New Roman"/>
          <w:sz w:val="18"/>
          <w:szCs w:val="18"/>
          <w:u w:val="single"/>
        </w:rPr>
        <w:tab/>
        <w:t>HFC-134a</w:t>
      </w:r>
    </w:p>
    <w:p w:rsidR="007B7F93" w:rsidRPr="00BF27EF" w:rsidRDefault="007B7F93" w:rsidP="007B7F93">
      <w:pPr>
        <w:spacing w:after="0" w:line="240" w:lineRule="auto"/>
        <w:rPr>
          <w:rFonts w:ascii="Times New Roman" w:eastAsia="Times New Roman" w:hAnsi="Times New Roman" w:cs="Times New Roman"/>
          <w:sz w:val="18"/>
          <w:szCs w:val="18"/>
        </w:rPr>
      </w:pPr>
    </w:p>
    <w:p w:rsidR="007B7F93" w:rsidRPr="00BF27EF" w:rsidRDefault="007B7F93" w:rsidP="007B7F93">
      <w:pPr>
        <w:spacing w:after="0" w:line="240" w:lineRule="auto"/>
        <w:rPr>
          <w:rFonts w:ascii="Times New Roman" w:eastAsia="Times New Roman" w:hAnsi="Times New Roman" w:cs="Times New Roman"/>
          <w:sz w:val="18"/>
          <w:szCs w:val="18"/>
        </w:rPr>
      </w:pPr>
      <w:r w:rsidRPr="00BF27EF">
        <w:rPr>
          <w:rFonts w:ascii="Times New Roman" w:eastAsia="Times New Roman" w:hAnsi="Times New Roman" w:cs="Times New Roman"/>
          <w:sz w:val="18"/>
          <w:szCs w:val="18"/>
        </w:rPr>
        <w:t>CAL014823</w:t>
      </w:r>
      <w:r w:rsidRPr="00BF27EF">
        <w:rPr>
          <w:rFonts w:ascii="Times New Roman" w:eastAsia="Times New Roman" w:hAnsi="Times New Roman" w:cs="Times New Roman"/>
          <w:sz w:val="18"/>
          <w:szCs w:val="18"/>
        </w:rPr>
        <w:tab/>
        <w:t>1998</w:t>
      </w:r>
      <w:r w:rsidRPr="00BF27EF">
        <w:rPr>
          <w:rFonts w:ascii="Times New Roman" w:eastAsia="Times New Roman" w:hAnsi="Times New Roman" w:cs="Times New Roman"/>
          <w:sz w:val="18"/>
          <w:szCs w:val="18"/>
        </w:rPr>
        <w:tab/>
        <w:t>467.9 (0.6)   334.7 (0.3)</w:t>
      </w:r>
    </w:p>
    <w:p w:rsidR="007B7F93" w:rsidRPr="00BF27EF" w:rsidRDefault="007B7F93" w:rsidP="007B7F93">
      <w:pPr>
        <w:spacing w:after="0" w:line="240" w:lineRule="auto"/>
        <w:rPr>
          <w:rFonts w:ascii="Times New Roman" w:eastAsia="Times New Roman" w:hAnsi="Times New Roman" w:cs="Times New Roman"/>
          <w:sz w:val="18"/>
          <w:szCs w:val="18"/>
        </w:rPr>
      </w:pPr>
      <w:r w:rsidRPr="00BF27EF">
        <w:rPr>
          <w:rFonts w:ascii="Times New Roman" w:eastAsia="Times New Roman" w:hAnsi="Times New Roman" w:cs="Times New Roman"/>
          <w:sz w:val="18"/>
          <w:szCs w:val="18"/>
        </w:rPr>
        <w:t>CAL014810</w:t>
      </w:r>
      <w:r w:rsidRPr="00BF27EF">
        <w:rPr>
          <w:rFonts w:ascii="Times New Roman" w:eastAsia="Times New Roman" w:hAnsi="Times New Roman" w:cs="Times New Roman"/>
          <w:sz w:val="18"/>
          <w:szCs w:val="18"/>
        </w:rPr>
        <w:tab/>
        <w:t>1998</w:t>
      </w:r>
      <w:r w:rsidRPr="00BF27EF">
        <w:rPr>
          <w:rFonts w:ascii="Times New Roman" w:eastAsia="Times New Roman" w:hAnsi="Times New Roman" w:cs="Times New Roman"/>
          <w:sz w:val="18"/>
          <w:szCs w:val="18"/>
        </w:rPr>
        <w:tab/>
        <w:t>425.4 (0.6)   251.9 (0.3)</w:t>
      </w:r>
    </w:p>
    <w:p w:rsidR="007B7F93" w:rsidRPr="00BF27EF" w:rsidRDefault="007B7F93" w:rsidP="007B7F93">
      <w:pPr>
        <w:spacing w:after="0" w:line="240" w:lineRule="auto"/>
        <w:rPr>
          <w:rFonts w:ascii="Times New Roman" w:eastAsia="Times New Roman" w:hAnsi="Times New Roman" w:cs="Times New Roman"/>
          <w:sz w:val="18"/>
          <w:szCs w:val="18"/>
        </w:rPr>
      </w:pPr>
      <w:r w:rsidRPr="00BF27EF">
        <w:rPr>
          <w:rFonts w:ascii="Times New Roman" w:eastAsia="Times New Roman" w:hAnsi="Times New Roman" w:cs="Times New Roman"/>
          <w:sz w:val="18"/>
          <w:szCs w:val="18"/>
        </w:rPr>
        <w:t>CAL014821</w:t>
      </w:r>
      <w:r w:rsidRPr="00BF27EF">
        <w:rPr>
          <w:rFonts w:ascii="Times New Roman" w:eastAsia="Times New Roman" w:hAnsi="Times New Roman" w:cs="Times New Roman"/>
          <w:sz w:val="18"/>
          <w:szCs w:val="18"/>
        </w:rPr>
        <w:tab/>
        <w:t>1998</w:t>
      </w:r>
      <w:r w:rsidRPr="00BF27EF">
        <w:rPr>
          <w:rFonts w:ascii="Times New Roman" w:eastAsia="Times New Roman" w:hAnsi="Times New Roman" w:cs="Times New Roman"/>
          <w:sz w:val="18"/>
          <w:szCs w:val="18"/>
        </w:rPr>
        <w:tab/>
        <w:t>375.3 (0.6)   271.1 (0.3)</w:t>
      </w:r>
    </w:p>
    <w:p w:rsidR="007B7F93" w:rsidRPr="00BF27EF" w:rsidRDefault="007B7F93" w:rsidP="007B7F93">
      <w:pPr>
        <w:spacing w:after="0" w:line="240" w:lineRule="auto"/>
        <w:rPr>
          <w:rFonts w:ascii="Times New Roman" w:eastAsia="Times New Roman" w:hAnsi="Times New Roman" w:cs="Times New Roman"/>
          <w:sz w:val="18"/>
          <w:szCs w:val="18"/>
        </w:rPr>
      </w:pPr>
      <w:r w:rsidRPr="00BF27EF">
        <w:rPr>
          <w:rFonts w:ascii="Times New Roman" w:eastAsia="Times New Roman" w:hAnsi="Times New Roman" w:cs="Times New Roman"/>
          <w:sz w:val="18"/>
          <w:szCs w:val="18"/>
        </w:rPr>
        <w:t>CAL014139</w:t>
      </w:r>
      <w:r w:rsidRPr="00BF27EF">
        <w:rPr>
          <w:rFonts w:ascii="Times New Roman" w:eastAsia="Times New Roman" w:hAnsi="Times New Roman" w:cs="Times New Roman"/>
          <w:sz w:val="18"/>
          <w:szCs w:val="18"/>
        </w:rPr>
        <w:tab/>
        <w:t>1998</w:t>
      </w:r>
      <w:r w:rsidRPr="00BF27EF">
        <w:rPr>
          <w:rFonts w:ascii="Times New Roman" w:eastAsia="Times New Roman" w:hAnsi="Times New Roman" w:cs="Times New Roman"/>
          <w:sz w:val="18"/>
          <w:szCs w:val="18"/>
        </w:rPr>
        <w:tab/>
        <w:t>281.3 (0.6)   165.8 (0.3)</w:t>
      </w:r>
    </w:p>
    <w:p w:rsidR="007B7F93" w:rsidRPr="00BF27EF" w:rsidRDefault="007B7F93" w:rsidP="007B7F93">
      <w:pPr>
        <w:spacing w:after="0" w:line="240" w:lineRule="auto"/>
        <w:rPr>
          <w:rFonts w:ascii="Times New Roman" w:eastAsia="Times New Roman" w:hAnsi="Times New Roman" w:cs="Times New Roman"/>
          <w:sz w:val="18"/>
          <w:szCs w:val="18"/>
        </w:rPr>
      </w:pPr>
      <w:r w:rsidRPr="00BF27EF">
        <w:rPr>
          <w:rFonts w:ascii="Times New Roman" w:eastAsia="Times New Roman" w:hAnsi="Times New Roman" w:cs="Times New Roman"/>
          <w:sz w:val="18"/>
          <w:szCs w:val="18"/>
        </w:rPr>
        <w:t>CAL014101</w:t>
      </w:r>
      <w:r w:rsidRPr="00BF27EF">
        <w:rPr>
          <w:rFonts w:ascii="Times New Roman" w:eastAsia="Times New Roman" w:hAnsi="Times New Roman" w:cs="Times New Roman"/>
          <w:sz w:val="18"/>
          <w:szCs w:val="18"/>
        </w:rPr>
        <w:tab/>
        <w:t>1998</w:t>
      </w:r>
      <w:r w:rsidRPr="00BF27EF">
        <w:rPr>
          <w:rFonts w:ascii="Times New Roman" w:eastAsia="Times New Roman" w:hAnsi="Times New Roman" w:cs="Times New Roman"/>
          <w:sz w:val="18"/>
          <w:szCs w:val="18"/>
        </w:rPr>
        <w:tab/>
        <w:t>276.2 (0.6)   204.7 (0.3)</w:t>
      </w:r>
    </w:p>
    <w:p w:rsidR="007B7F93" w:rsidRPr="00BF27EF" w:rsidRDefault="007B7F93" w:rsidP="007B7F93">
      <w:pPr>
        <w:spacing w:after="0" w:line="240" w:lineRule="auto"/>
        <w:rPr>
          <w:rFonts w:ascii="Times New Roman" w:eastAsia="Times New Roman" w:hAnsi="Times New Roman" w:cs="Times New Roman"/>
          <w:sz w:val="18"/>
          <w:szCs w:val="18"/>
        </w:rPr>
      </w:pPr>
      <w:r w:rsidRPr="00BF27EF">
        <w:rPr>
          <w:rFonts w:ascii="Times New Roman" w:eastAsia="Times New Roman" w:hAnsi="Times New Roman" w:cs="Times New Roman"/>
          <w:sz w:val="18"/>
          <w:szCs w:val="18"/>
        </w:rPr>
        <w:t>AAL070499</w:t>
      </w:r>
      <w:r w:rsidRPr="00BF27EF">
        <w:rPr>
          <w:rFonts w:ascii="Times New Roman" w:eastAsia="Times New Roman" w:hAnsi="Times New Roman" w:cs="Times New Roman"/>
          <w:sz w:val="18"/>
          <w:szCs w:val="18"/>
        </w:rPr>
        <w:tab/>
        <w:t>2004</w:t>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t>65.11 (0.1)</w:t>
      </w:r>
    </w:p>
    <w:p w:rsidR="007B7F93" w:rsidRPr="00BF27EF" w:rsidRDefault="007B7F93" w:rsidP="007B7F93">
      <w:pPr>
        <w:spacing w:after="0" w:line="240" w:lineRule="auto"/>
        <w:rPr>
          <w:rFonts w:ascii="Times New Roman" w:eastAsia="Times New Roman" w:hAnsi="Times New Roman" w:cs="Times New Roman"/>
          <w:sz w:val="18"/>
          <w:szCs w:val="18"/>
        </w:rPr>
      </w:pPr>
      <w:r w:rsidRPr="00BF27EF">
        <w:rPr>
          <w:rFonts w:ascii="Times New Roman" w:eastAsia="Times New Roman" w:hAnsi="Times New Roman" w:cs="Times New Roman"/>
          <w:sz w:val="18"/>
          <w:szCs w:val="18"/>
        </w:rPr>
        <w:t>AAL070466</w:t>
      </w:r>
      <w:r w:rsidRPr="00BF27EF">
        <w:rPr>
          <w:rFonts w:ascii="Times New Roman" w:eastAsia="Times New Roman" w:hAnsi="Times New Roman" w:cs="Times New Roman"/>
          <w:sz w:val="18"/>
          <w:szCs w:val="18"/>
        </w:rPr>
        <w:tab/>
        <w:t>2004</w:t>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t>87.66 (0.1)</w:t>
      </w:r>
    </w:p>
    <w:p w:rsidR="007B7F93" w:rsidRPr="00BF27EF" w:rsidRDefault="007B7F93" w:rsidP="007B7F93">
      <w:pPr>
        <w:spacing w:after="0" w:line="240" w:lineRule="auto"/>
        <w:rPr>
          <w:rFonts w:ascii="Times New Roman" w:eastAsia="Times New Roman" w:hAnsi="Times New Roman" w:cs="Times New Roman"/>
          <w:sz w:val="18"/>
          <w:szCs w:val="18"/>
        </w:rPr>
      </w:pPr>
      <w:r w:rsidRPr="00BF27EF">
        <w:rPr>
          <w:rFonts w:ascii="Times New Roman" w:eastAsia="Times New Roman" w:hAnsi="Times New Roman" w:cs="Times New Roman"/>
          <w:sz w:val="18"/>
          <w:szCs w:val="18"/>
        </w:rPr>
        <w:t>FF4236</w:t>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t>2012</w:t>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t xml:space="preserve">      </w:t>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t xml:space="preserve">51.22 (0.15) </w:t>
      </w:r>
      <w:r w:rsidRPr="00BF27EF">
        <w:rPr>
          <w:rFonts w:ascii="Times New Roman" w:eastAsia="Times New Roman" w:hAnsi="Times New Roman" w:cs="Times New Roman"/>
          <w:sz w:val="18"/>
          <w:szCs w:val="18"/>
        </w:rPr>
        <w:tab/>
        <w:t>69.55 (0.6)</w:t>
      </w:r>
    </w:p>
    <w:p w:rsidR="007B7F93" w:rsidRPr="00BF27EF" w:rsidRDefault="007B7F93" w:rsidP="007B7F93">
      <w:pPr>
        <w:spacing w:after="0" w:line="240" w:lineRule="auto"/>
        <w:rPr>
          <w:rFonts w:ascii="Times New Roman" w:eastAsia="Times New Roman" w:hAnsi="Times New Roman" w:cs="Times New Roman"/>
          <w:sz w:val="18"/>
          <w:szCs w:val="18"/>
        </w:rPr>
      </w:pPr>
      <w:r w:rsidRPr="00BF27EF">
        <w:rPr>
          <w:rFonts w:ascii="Times New Roman" w:eastAsia="Times New Roman" w:hAnsi="Times New Roman" w:cs="Times New Roman"/>
          <w:sz w:val="18"/>
          <w:szCs w:val="18"/>
        </w:rPr>
        <w:t>FF4270</w:t>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t>2012</w:t>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t xml:space="preserve">       455.9 (1.0)</w:t>
      </w:r>
      <w:r w:rsidRPr="00BF27EF">
        <w:rPr>
          <w:rFonts w:ascii="Times New Roman" w:eastAsia="Times New Roman" w:hAnsi="Times New Roman" w:cs="Times New Roman"/>
          <w:sz w:val="18"/>
          <w:szCs w:val="18"/>
        </w:rPr>
        <w:tab/>
        <w:t>20.59 (0.15)</w:t>
      </w:r>
      <w:r w:rsidRPr="00BF27EF">
        <w:rPr>
          <w:rFonts w:ascii="Times New Roman" w:eastAsia="Times New Roman" w:hAnsi="Times New Roman" w:cs="Times New Roman"/>
          <w:sz w:val="18"/>
          <w:szCs w:val="18"/>
        </w:rPr>
        <w:tab/>
        <w:t>27.95 (0.6)</w:t>
      </w:r>
    </w:p>
    <w:p w:rsidR="007B7F93" w:rsidRPr="00BF27EF" w:rsidRDefault="007B7F93" w:rsidP="007B7F93">
      <w:pPr>
        <w:spacing w:after="0" w:line="240" w:lineRule="auto"/>
        <w:rPr>
          <w:rFonts w:ascii="Times New Roman" w:eastAsia="Times New Roman" w:hAnsi="Times New Roman" w:cs="Times New Roman"/>
          <w:sz w:val="18"/>
          <w:szCs w:val="18"/>
        </w:rPr>
      </w:pPr>
      <w:r w:rsidRPr="00BF27EF">
        <w:rPr>
          <w:rFonts w:ascii="Times New Roman" w:eastAsia="Times New Roman" w:hAnsi="Times New Roman" w:cs="Times New Roman"/>
          <w:sz w:val="18"/>
          <w:szCs w:val="18"/>
        </w:rPr>
        <w:t>FF4266</w:t>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t>2012</w:t>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t xml:space="preserve">       237.85 (1.0)</w:t>
      </w:r>
    </w:p>
    <w:p w:rsidR="007B7F93" w:rsidRPr="00BF27EF" w:rsidRDefault="007B7F93" w:rsidP="007B7F93">
      <w:pPr>
        <w:spacing w:after="0" w:line="240" w:lineRule="auto"/>
        <w:rPr>
          <w:rFonts w:ascii="Times New Roman" w:eastAsia="Times New Roman" w:hAnsi="Times New Roman" w:cs="Times New Roman"/>
          <w:sz w:val="18"/>
          <w:szCs w:val="18"/>
        </w:rPr>
      </w:pPr>
      <w:r w:rsidRPr="00BF27EF">
        <w:rPr>
          <w:rFonts w:ascii="Times New Roman" w:eastAsia="Times New Roman" w:hAnsi="Times New Roman" w:cs="Times New Roman"/>
          <w:sz w:val="18"/>
          <w:szCs w:val="18"/>
        </w:rPr>
        <w:t>FF4204</w:t>
      </w:r>
      <w:r w:rsidRPr="00BF27EF">
        <w:rPr>
          <w:rFonts w:ascii="Times New Roman" w:eastAsia="Times New Roman" w:hAnsi="Times New Roman" w:cs="Times New Roman"/>
          <w:sz w:val="18"/>
          <w:szCs w:val="18"/>
        </w:rPr>
        <w:tab/>
      </w:r>
      <w:r w:rsidRPr="00BF27EF">
        <w:rPr>
          <w:rFonts w:ascii="Times New Roman" w:eastAsia="Times New Roman" w:hAnsi="Times New Roman" w:cs="Times New Roman"/>
          <w:sz w:val="18"/>
          <w:szCs w:val="18"/>
        </w:rPr>
        <w:tab/>
        <w:t>2012</w:t>
      </w:r>
      <w:r w:rsidRPr="00BF27EF">
        <w:rPr>
          <w:rFonts w:ascii="Times New Roman" w:eastAsia="Times New Roman" w:hAnsi="Times New Roman" w:cs="Times New Roman"/>
          <w:sz w:val="18"/>
          <w:szCs w:val="18"/>
        </w:rPr>
        <w:tab/>
        <w:t>540.2 ± 0.5</w:t>
      </w:r>
      <w:r w:rsidRPr="00BF27EF">
        <w:rPr>
          <w:rFonts w:ascii="Times New Roman" w:eastAsia="Times New Roman" w:hAnsi="Times New Roman" w:cs="Times New Roman"/>
          <w:sz w:val="18"/>
          <w:szCs w:val="18"/>
        </w:rPr>
        <w:tab/>
      </w:r>
    </w:p>
    <w:p w:rsidR="007B7F93" w:rsidRPr="00BF27EF" w:rsidRDefault="007B7F93" w:rsidP="007B7F93">
      <w:pPr>
        <w:spacing w:after="0" w:line="240" w:lineRule="auto"/>
        <w:rPr>
          <w:rFonts w:ascii="Times New Roman" w:eastAsia="Times New Roman" w:hAnsi="Times New Roman" w:cs="Times New Roman"/>
          <w:sz w:val="18"/>
          <w:szCs w:val="18"/>
        </w:rPr>
      </w:pPr>
    </w:p>
    <w:p w:rsidR="007B7F93" w:rsidRPr="00BF27EF" w:rsidRDefault="007B7F93" w:rsidP="007B7F93">
      <w:pPr>
        <w:spacing w:after="0" w:line="240" w:lineRule="auto"/>
        <w:rPr>
          <w:rFonts w:ascii="Times New Roman" w:eastAsia="Times New Roman" w:hAnsi="Times New Roman" w:cs="Times New Roman"/>
          <w:sz w:val="18"/>
          <w:szCs w:val="18"/>
        </w:rPr>
      </w:pPr>
      <w:proofErr w:type="spellStart"/>
      <w:proofErr w:type="gramStart"/>
      <w:r w:rsidRPr="00BF27EF">
        <w:rPr>
          <w:rFonts w:ascii="Times New Roman" w:eastAsia="Times New Roman" w:hAnsi="Times New Roman" w:cs="Times New Roman"/>
          <w:sz w:val="18"/>
          <w:szCs w:val="18"/>
          <w:vertAlign w:val="superscript"/>
        </w:rPr>
        <w:t>a</w:t>
      </w:r>
      <w:r w:rsidRPr="00BF27EF">
        <w:rPr>
          <w:rFonts w:ascii="Times New Roman" w:eastAsia="Times New Roman" w:hAnsi="Times New Roman" w:cs="Times New Roman"/>
          <w:sz w:val="18"/>
          <w:szCs w:val="18"/>
        </w:rPr>
        <w:t>Relative</w:t>
      </w:r>
      <w:proofErr w:type="spellEnd"/>
      <w:proofErr w:type="gramEnd"/>
      <w:r w:rsidRPr="00BF27EF">
        <w:rPr>
          <w:rFonts w:ascii="Times New Roman" w:eastAsia="Times New Roman" w:hAnsi="Times New Roman" w:cs="Times New Roman"/>
          <w:sz w:val="18"/>
          <w:szCs w:val="18"/>
        </w:rPr>
        <w:t xml:space="preserve"> combined uncertainty, in ( ), with the coverage factor </w:t>
      </w:r>
      <w:r w:rsidRPr="00BF27EF">
        <w:rPr>
          <w:rFonts w:ascii="Times New Roman" w:eastAsia="Times New Roman" w:hAnsi="Times New Roman" w:cs="Times New Roman"/>
          <w:i/>
          <w:sz w:val="18"/>
          <w:szCs w:val="18"/>
        </w:rPr>
        <w:t>k=</w:t>
      </w:r>
      <w:r w:rsidRPr="00BF27EF">
        <w:rPr>
          <w:rFonts w:ascii="Times New Roman" w:eastAsia="Times New Roman" w:hAnsi="Times New Roman" w:cs="Times New Roman"/>
          <w:sz w:val="18"/>
          <w:szCs w:val="18"/>
        </w:rPr>
        <w:t>1 (68 % confidence interval).</w:t>
      </w:r>
      <w:r w:rsidRPr="00BF27EF">
        <w:rPr>
          <w:rFonts w:ascii="Times New Roman" w:eastAsia="Times New Roman" w:hAnsi="Times New Roman" w:cs="Times New Roman"/>
          <w:sz w:val="18"/>
          <w:szCs w:val="18"/>
        </w:rPr>
        <w:tab/>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Times New Roman" w:eastAsia="Times New Roman" w:hAnsi="Times New Roman" w:cs="Times New Roman"/>
        </w:rPr>
      </w:pPr>
    </w:p>
    <w:p w:rsidR="007B7F93" w:rsidRPr="00BF27EF" w:rsidRDefault="007B7F93" w:rsidP="007B7F93">
      <w:pPr>
        <w:widowControl w:val="0"/>
        <w:tabs>
          <w:tab w:val="left" w:pos="283"/>
          <w:tab w:val="left" w:pos="1190"/>
          <w:tab w:val="right" w:pos="3410"/>
          <w:tab w:val="left" w:pos="3688"/>
        </w:tabs>
        <w:spacing w:after="0" w:line="240" w:lineRule="auto"/>
        <w:rPr>
          <w:rFonts w:ascii="Arial" w:eastAsia="Times New Roman" w:hAnsi="Arial" w:cs="Times New Roman"/>
          <w:sz w:val="20"/>
          <w:szCs w:val="20"/>
        </w:rPr>
      </w:pPr>
      <w:proofErr w:type="gramStart"/>
      <w:r w:rsidRPr="00BF27EF">
        <w:rPr>
          <w:rFonts w:ascii="Arial" w:eastAsia="Times New Roman" w:hAnsi="Arial" w:cs="Times New Roman"/>
          <w:sz w:val="20"/>
          <w:szCs w:val="20"/>
        </w:rPr>
        <w:t>The  sample</w:t>
      </w:r>
      <w:proofErr w:type="gramEnd"/>
      <w:r w:rsidRPr="00BF27EF">
        <w:rPr>
          <w:rFonts w:ascii="Arial" w:eastAsia="Times New Roman" w:hAnsi="Arial" w:cs="Times New Roman"/>
          <w:sz w:val="20"/>
          <w:szCs w:val="20"/>
        </w:rPr>
        <w:t xml:space="preserve"> was used as a control; it was analyzed first followed by two primary gravimetric standards, followed by the  sample, and continued until all standards had been analyzed.  This allowed for drift in the complete analysis sequence to be corrected due to temperature/pressure conditions.  Three injections were made of each standard, </w:t>
      </w:r>
      <w:proofErr w:type="gramStart"/>
      <w:r w:rsidRPr="00BF27EF">
        <w:rPr>
          <w:rFonts w:ascii="Arial" w:eastAsia="Times New Roman" w:hAnsi="Arial" w:cs="Times New Roman"/>
          <w:sz w:val="20"/>
          <w:szCs w:val="20"/>
        </w:rPr>
        <w:t>or  sample</w:t>
      </w:r>
      <w:proofErr w:type="gramEnd"/>
      <w:r w:rsidRPr="00BF27EF">
        <w:rPr>
          <w:rFonts w:ascii="Arial" w:eastAsia="Times New Roman" w:hAnsi="Arial" w:cs="Times New Roman"/>
          <w:sz w:val="20"/>
          <w:szCs w:val="20"/>
        </w:rPr>
        <w:t xml:space="preserve">, before moving to the next sample.  A ratio was calculated for each gravimetric standard to </w:t>
      </w:r>
      <w:proofErr w:type="gramStart"/>
      <w:r w:rsidRPr="00BF27EF">
        <w:rPr>
          <w:rFonts w:ascii="Arial" w:eastAsia="Times New Roman" w:hAnsi="Arial" w:cs="Times New Roman"/>
          <w:sz w:val="20"/>
          <w:szCs w:val="20"/>
        </w:rPr>
        <w:t>the  sample</w:t>
      </w:r>
      <w:proofErr w:type="gramEnd"/>
      <w:r w:rsidRPr="00BF27EF">
        <w:rPr>
          <w:rFonts w:ascii="Arial" w:eastAsia="Times New Roman" w:hAnsi="Arial" w:cs="Times New Roman"/>
          <w:sz w:val="20"/>
          <w:szCs w:val="20"/>
        </w:rPr>
        <w:t xml:space="preserve"> from the peak area data.  The CFC-12 and CFC-11 concentrations were determined for each </w:t>
      </w:r>
      <w:proofErr w:type="gramStart"/>
      <w:r w:rsidRPr="00BF27EF">
        <w:rPr>
          <w:rFonts w:ascii="Arial" w:eastAsia="Times New Roman" w:hAnsi="Arial" w:cs="Times New Roman"/>
          <w:sz w:val="20"/>
          <w:szCs w:val="20"/>
        </w:rPr>
        <w:t>days</w:t>
      </w:r>
      <w:proofErr w:type="gramEnd"/>
      <w:r w:rsidRPr="00BF27EF">
        <w:rPr>
          <w:rFonts w:ascii="Arial" w:eastAsia="Times New Roman" w:hAnsi="Arial" w:cs="Times New Roman"/>
          <w:sz w:val="20"/>
          <w:szCs w:val="20"/>
        </w:rPr>
        <w:t xml:space="preserve"> data using a generalized least squares regression and a 2</w:t>
      </w:r>
      <w:r w:rsidRPr="00BF27EF">
        <w:rPr>
          <w:rFonts w:ascii="Arial" w:eastAsia="Times New Roman" w:hAnsi="Arial" w:cs="Times New Roman"/>
          <w:sz w:val="20"/>
          <w:szCs w:val="20"/>
          <w:vertAlign w:val="superscript"/>
        </w:rPr>
        <w:t>nd</w:t>
      </w:r>
      <w:r w:rsidRPr="00BF27EF">
        <w:rPr>
          <w:rFonts w:ascii="Arial" w:eastAsia="Times New Roman" w:hAnsi="Arial" w:cs="Times New Roman"/>
          <w:sz w:val="20"/>
          <w:szCs w:val="20"/>
        </w:rPr>
        <w:t xml:space="preserve"> order fit.  The gravimetric standards for the other halocarbons bracketed the concentration in </w:t>
      </w:r>
      <w:proofErr w:type="gramStart"/>
      <w:r w:rsidRPr="00BF27EF">
        <w:rPr>
          <w:rFonts w:ascii="Arial" w:eastAsia="Times New Roman" w:hAnsi="Arial" w:cs="Times New Roman"/>
          <w:sz w:val="20"/>
          <w:szCs w:val="20"/>
        </w:rPr>
        <w:t>the  sample</w:t>
      </w:r>
      <w:proofErr w:type="gramEnd"/>
      <w:r w:rsidRPr="00BF27EF">
        <w:rPr>
          <w:rFonts w:ascii="Arial" w:eastAsia="Times New Roman" w:hAnsi="Arial" w:cs="Times New Roman"/>
          <w:sz w:val="20"/>
          <w:szCs w:val="20"/>
        </w:rPr>
        <w:t xml:space="preserve">.  The concentration was determined against each standard and an average calculated.  The final concentration was determined by using the ratio data from each </w:t>
      </w:r>
      <w:proofErr w:type="gramStart"/>
      <w:r w:rsidRPr="00BF27EF">
        <w:rPr>
          <w:rFonts w:ascii="Arial" w:eastAsia="Times New Roman" w:hAnsi="Arial" w:cs="Times New Roman"/>
          <w:sz w:val="20"/>
          <w:szCs w:val="20"/>
        </w:rPr>
        <w:t>days</w:t>
      </w:r>
      <w:proofErr w:type="gramEnd"/>
      <w:r w:rsidRPr="00BF27EF">
        <w:rPr>
          <w:rFonts w:ascii="Arial" w:eastAsia="Times New Roman" w:hAnsi="Arial" w:cs="Times New Roman"/>
          <w:sz w:val="20"/>
          <w:szCs w:val="20"/>
        </w:rPr>
        <w:t xml:space="preserve"> analysis and fitting to the generalized least squares regression to a linear fit; rather than taking an average of all days concentration determinations.  The CFC-113, HFC-134a, HCFC-22 and HCFC-142b were determined by bracketing with PSMs.</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Times New Roman" w:eastAsia="Times New Roman" w:hAnsi="Times New Roman" w:cs="Times New Roman"/>
        </w:rPr>
      </w:pPr>
    </w:p>
    <w:p w:rsidR="007B7F93" w:rsidRPr="00BF27EF" w:rsidRDefault="007B7F93" w:rsidP="007B7F93">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u w:val="single"/>
        </w:rPr>
      </w:pPr>
      <w:r w:rsidRPr="00BF27EF">
        <w:rPr>
          <w:rFonts w:ascii="Arial" w:eastAsia="Times New Roman" w:hAnsi="Arial" w:cs="Times New Roman"/>
          <w:sz w:val="20"/>
          <w:szCs w:val="20"/>
          <w:u w:val="single"/>
        </w:rPr>
        <w:t>Sample Handling:</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How were the cylinders treated after arrival (stabilized) and how were samples transferred to the instrument? (</w:t>
      </w:r>
      <w:proofErr w:type="gramStart"/>
      <w:r w:rsidRPr="00BF27EF">
        <w:rPr>
          <w:rFonts w:ascii="Arial" w:eastAsia="Times New Roman" w:hAnsi="Arial" w:cs="Times New Roman"/>
          <w:sz w:val="20"/>
          <w:szCs w:val="20"/>
        </w:rPr>
        <w:t>automatic</w:t>
      </w:r>
      <w:proofErr w:type="gramEnd"/>
      <w:r w:rsidRPr="00BF27EF">
        <w:rPr>
          <w:rFonts w:ascii="Arial" w:eastAsia="Times New Roman" w:hAnsi="Arial" w:cs="Times New Roman"/>
          <w:sz w:val="20"/>
          <w:szCs w:val="20"/>
        </w:rPr>
        <w:t xml:space="preserve">, high pressure, mass-flow controller, dilution </w:t>
      </w:r>
      <w:proofErr w:type="spellStart"/>
      <w:r w:rsidRPr="00BF27EF">
        <w:rPr>
          <w:rFonts w:ascii="Arial" w:eastAsia="Times New Roman" w:hAnsi="Arial" w:cs="Times New Roman"/>
          <w:sz w:val="20"/>
          <w:szCs w:val="20"/>
        </w:rPr>
        <w:t>etc</w:t>
      </w:r>
      <w:proofErr w:type="spellEnd"/>
      <w:r w:rsidRPr="00BF27EF">
        <w:rPr>
          <w:rFonts w:ascii="Arial" w:eastAsia="Times New Roman" w:hAnsi="Arial" w:cs="Times New Roman"/>
          <w:sz w:val="20"/>
          <w:szCs w:val="20"/>
        </w:rPr>
        <w:t>).:</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p>
    <w:p w:rsidR="007B7F93" w:rsidRPr="00BF27EF" w:rsidRDefault="007B7F93" w:rsidP="007B7F93">
      <w:pPr>
        <w:spacing w:after="120" w:line="240" w:lineRule="auto"/>
        <w:rPr>
          <w:rFonts w:ascii="Times New Roman" w:eastAsia="Batang" w:hAnsi="Times New Roman" w:cs="Times New Roman"/>
          <w:szCs w:val="20"/>
          <w:lang w:val="en-GB" w:eastAsia="ko-KR"/>
        </w:rPr>
      </w:pPr>
      <w:r w:rsidRPr="00BF27EF">
        <w:rPr>
          <w:rFonts w:ascii="Times New Roman" w:eastAsia="Batang" w:hAnsi="Times New Roman" w:cs="Times New Roman"/>
          <w:szCs w:val="20"/>
          <w:lang w:val="en-GB" w:eastAsia="ko-KR"/>
        </w:rPr>
        <w:t xml:space="preserve">All standards and </w:t>
      </w:r>
      <w:proofErr w:type="gramStart"/>
      <w:r w:rsidRPr="00BF27EF">
        <w:rPr>
          <w:rFonts w:ascii="Times New Roman" w:eastAsia="Batang" w:hAnsi="Times New Roman" w:cs="Times New Roman"/>
          <w:szCs w:val="20"/>
          <w:lang w:val="en-GB" w:eastAsia="ko-KR"/>
        </w:rPr>
        <w:t>the  sample</w:t>
      </w:r>
      <w:proofErr w:type="gramEnd"/>
      <w:r w:rsidRPr="00BF27EF">
        <w:rPr>
          <w:rFonts w:ascii="Times New Roman" w:eastAsia="Batang" w:hAnsi="Times New Roman" w:cs="Times New Roman"/>
          <w:szCs w:val="20"/>
          <w:lang w:val="en-GB" w:eastAsia="ko-KR"/>
        </w:rPr>
        <w:t xml:space="preserve"> were brought into the lab and set next to the GC to be used.  They were allowed to stabilize over 2 days.  Stainless steel 2-stage, low dead volume, regulators were used and the sample lines were 3.8 cm stainless steel.  The samples, for CFC-12, CFC-11 and CFC-113 analysis, were </w:t>
      </w:r>
      <w:r w:rsidRPr="00BF27EF">
        <w:rPr>
          <w:rFonts w:ascii="Times New Roman" w:eastAsia="Batang" w:hAnsi="Times New Roman" w:cs="Times New Roman"/>
          <w:szCs w:val="20"/>
          <w:lang w:val="en-GB" w:eastAsia="ko-KR"/>
        </w:rPr>
        <w:lastRenderedPageBreak/>
        <w:t xml:space="preserve">flushed through the sample loop at 40 mL/min flow but then dropped to ambient pressure 5 seconds before automatic injection onto the GC column.  In the case of HFC-134a, HCFC-22 and HCFC-142b, the sample was preconcentrated in stainless steel traps then cryofocused on the head of the capillary column.   </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p>
    <w:p w:rsidR="007B7F93" w:rsidRPr="00BF27EF" w:rsidRDefault="007B7F93" w:rsidP="007B7F93">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u w:val="single"/>
        </w:rPr>
      </w:pPr>
      <w:r w:rsidRPr="00BF27EF">
        <w:rPr>
          <w:rFonts w:ascii="Arial" w:eastAsia="Times New Roman" w:hAnsi="Arial" w:cs="Times New Roman"/>
          <w:sz w:val="20"/>
          <w:szCs w:val="20"/>
          <w:u w:val="single"/>
        </w:rPr>
        <w:t>Uncertainty:</w:t>
      </w:r>
    </w:p>
    <w:p w:rsidR="007B7F93" w:rsidRPr="00BF27EF" w:rsidRDefault="007B7F93" w:rsidP="007B7F93">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 xml:space="preserve">There are potential sources that influence the uncertainty of the final measurement result. Depending on the equipment, the applied analytical method and the target uncertainty of the final result, they have to be taken into account or can be neglected. </w:t>
      </w:r>
    </w:p>
    <w:p w:rsidR="007B7F93" w:rsidRDefault="007B7F93" w:rsidP="007B7F93">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p>
    <w:p w:rsidR="007B7F93" w:rsidRPr="00BF27EF" w:rsidRDefault="007B7F93" w:rsidP="007B7F93">
      <w:pPr>
        <w:widowControl w:val="0"/>
        <w:tabs>
          <w:tab w:val="left" w:pos="283"/>
          <w:tab w:val="left" w:pos="1190"/>
          <w:tab w:val="right" w:pos="3410"/>
          <w:tab w:val="left" w:pos="3688"/>
        </w:tabs>
        <w:spacing w:after="0" w:line="240" w:lineRule="auto"/>
        <w:jc w:val="both"/>
        <w:rPr>
          <w:rFonts w:ascii="Arial" w:eastAsia="Times New Roman" w:hAnsi="Arial" w:cs="Times New Roman"/>
          <w:sz w:val="20"/>
          <w:szCs w:val="20"/>
        </w:rPr>
      </w:pPr>
    </w:p>
    <w:p w:rsidR="007B7F93" w:rsidRPr="00BF27EF" w:rsidRDefault="007B7F93" w:rsidP="007B7F93">
      <w:pPr>
        <w:widowControl w:val="0"/>
        <w:numPr>
          <w:ilvl w:val="0"/>
          <w:numId w:val="1"/>
        </w:numPr>
        <w:tabs>
          <w:tab w:val="left" w:pos="283"/>
          <w:tab w:val="left" w:pos="1190"/>
          <w:tab w:val="right" w:pos="3410"/>
          <w:tab w:val="left" w:pos="3688"/>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Uncertainty table</w:t>
      </w:r>
      <w:r w:rsidRPr="00BF27EF">
        <w:rPr>
          <w:rFonts w:ascii="Arial" w:eastAsia="Times New Roman" w:hAnsi="Arial" w:cs="Times New Roman"/>
          <w:b/>
          <w:sz w:val="20"/>
          <w:szCs w:val="20"/>
        </w:rPr>
        <w:t>: CFC-12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1758"/>
        <w:gridCol w:w="1980"/>
        <w:gridCol w:w="3194"/>
      </w:tblGrid>
      <w:tr w:rsidR="007B7F93" w:rsidRPr="00BF27EF" w:rsidTr="007E355B">
        <w:trPr>
          <w:trHeight w:val="432"/>
        </w:trPr>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Uncertainty component</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Estimate (ppt)</w:t>
            </w:r>
          </w:p>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i/>
                <w:sz w:val="20"/>
                <w:szCs w:val="20"/>
              </w:rPr>
              <w:t>u</w:t>
            </w:r>
            <w:r w:rsidRPr="00BF27EF">
              <w:rPr>
                <w:rFonts w:ascii="Arial" w:eastAsia="Times New Roman" w:hAnsi="Arial" w:cs="Times New Roman"/>
                <w:sz w:val="20"/>
                <w:szCs w:val="20"/>
              </w:rPr>
              <w:t>(</w:t>
            </w:r>
            <w:r w:rsidRPr="00BF27EF">
              <w:rPr>
                <w:rFonts w:ascii="Arial" w:eastAsia="Times New Roman" w:hAnsi="Arial" w:cs="Times New Roman"/>
                <w:i/>
                <w:sz w:val="20"/>
                <w:szCs w:val="20"/>
              </w:rPr>
              <w:t>k=1</w:t>
            </w:r>
            <w:r w:rsidRPr="00BF27EF">
              <w:rPr>
                <w:rFonts w:ascii="Arial" w:eastAsia="Times New Roman" w:hAnsi="Arial" w:cs="Times New Roman"/>
                <w:sz w:val="20"/>
                <w:szCs w:val="20"/>
              </w:rPr>
              <w:t>)</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Assumed distribution</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Contribution to standard uncertainty, </w:t>
            </w:r>
            <w:proofErr w:type="spellStart"/>
            <w:r w:rsidRPr="00BF27EF">
              <w:rPr>
                <w:rFonts w:ascii="Arial" w:eastAsia="Times New Roman" w:hAnsi="Arial" w:cs="Times New Roman"/>
                <w:i/>
                <w:sz w:val="20"/>
                <w:szCs w:val="20"/>
              </w:rPr>
              <w:t>ui</w:t>
            </w:r>
            <w:proofErr w:type="spellEnd"/>
            <w:r w:rsidRPr="00BF27EF">
              <w:rPr>
                <w:rFonts w:ascii="Arial" w:eastAsia="Times New Roman" w:hAnsi="Arial" w:cs="Times New Roman"/>
                <w:sz w:val="20"/>
                <w:szCs w:val="20"/>
              </w:rPr>
              <w:t>(y)</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Gravimetric Standards</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0.6</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0.222</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Analytical precision</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1.4</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0.519</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Sample to </w:t>
            </w:r>
            <w:proofErr w:type="spellStart"/>
            <w:r w:rsidRPr="00BF27EF">
              <w:rPr>
                <w:rFonts w:ascii="Arial" w:eastAsia="Times New Roman" w:hAnsi="Arial" w:cs="Times New Roman"/>
                <w:sz w:val="20"/>
                <w:szCs w:val="20"/>
              </w:rPr>
              <w:t>Grav</w:t>
            </w:r>
            <w:proofErr w:type="spellEnd"/>
            <w:r w:rsidRPr="00BF27EF">
              <w:rPr>
                <w:rFonts w:ascii="Arial" w:eastAsia="Times New Roman" w:hAnsi="Arial" w:cs="Times New Roman"/>
                <w:sz w:val="20"/>
                <w:szCs w:val="20"/>
              </w:rPr>
              <w:t xml:space="preserve"> Stds</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0.7</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0.259</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r>
    </w:tbl>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 xml:space="preserve">Coverage factor: </w:t>
      </w:r>
      <w:r w:rsidRPr="00BF27EF">
        <w:rPr>
          <w:rFonts w:ascii="Arial" w:eastAsia="Times New Roman" w:hAnsi="Arial" w:cs="Times New Roman"/>
          <w:i/>
          <w:sz w:val="20"/>
          <w:szCs w:val="20"/>
        </w:rPr>
        <w:t>k=</w:t>
      </w:r>
      <w:r w:rsidRPr="00BF27EF">
        <w:rPr>
          <w:rFonts w:ascii="Arial" w:eastAsia="Times New Roman" w:hAnsi="Arial" w:cs="Times New Roman"/>
          <w:sz w:val="20"/>
          <w:szCs w:val="20"/>
        </w:rPr>
        <w:t>2</w:t>
      </w:r>
    </w:p>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 xml:space="preserve">Expanded uncertainty: </w:t>
      </w:r>
      <w:proofErr w:type="gramStart"/>
      <w:r w:rsidRPr="00BF27EF">
        <w:rPr>
          <w:rFonts w:ascii="Arial" w:eastAsia="Times New Roman" w:hAnsi="Arial" w:cs="Times New Roman"/>
          <w:sz w:val="20"/>
          <w:szCs w:val="20"/>
        </w:rPr>
        <w:t>3.4 pmol/mol</w:t>
      </w:r>
      <w:proofErr w:type="gramEnd"/>
    </w:p>
    <w:p w:rsidR="007B7F93" w:rsidRDefault="007B7F93" w:rsidP="007B7F93">
      <w:pPr>
        <w:widowControl w:val="0"/>
        <w:tabs>
          <w:tab w:val="left" w:pos="283"/>
          <w:tab w:val="left" w:pos="1190"/>
          <w:tab w:val="right" w:pos="3410"/>
          <w:tab w:val="left" w:pos="3688"/>
        </w:tabs>
        <w:spacing w:after="0" w:line="240" w:lineRule="auto"/>
        <w:rPr>
          <w:rFonts w:ascii="Arial" w:eastAsia="Times New Roman" w:hAnsi="Arial" w:cs="Times New Roman"/>
          <w:sz w:val="20"/>
          <w:szCs w:val="20"/>
        </w:rPr>
      </w:pPr>
    </w:p>
    <w:p w:rsidR="007B7F93" w:rsidRPr="00BF27EF" w:rsidRDefault="007B7F93" w:rsidP="007B7F93">
      <w:pPr>
        <w:widowControl w:val="0"/>
        <w:tabs>
          <w:tab w:val="left" w:pos="283"/>
          <w:tab w:val="left" w:pos="1190"/>
          <w:tab w:val="right" w:pos="3410"/>
          <w:tab w:val="left" w:pos="3688"/>
        </w:tabs>
        <w:spacing w:after="0" w:line="240" w:lineRule="auto"/>
        <w:rPr>
          <w:rFonts w:ascii="Arial" w:eastAsia="Times New Roman" w:hAnsi="Arial" w:cs="Times New Roman"/>
          <w:sz w:val="20"/>
          <w:szCs w:val="20"/>
        </w:rPr>
      </w:pPr>
    </w:p>
    <w:p w:rsidR="007B7F93" w:rsidRPr="00BF27EF" w:rsidRDefault="007B7F93" w:rsidP="007B7F93">
      <w:pPr>
        <w:widowControl w:val="0"/>
        <w:numPr>
          <w:ilvl w:val="0"/>
          <w:numId w:val="1"/>
        </w:numPr>
        <w:tabs>
          <w:tab w:val="left" w:pos="283"/>
          <w:tab w:val="left" w:pos="1190"/>
          <w:tab w:val="right" w:pos="3410"/>
          <w:tab w:val="left" w:pos="3688"/>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Uncertainty table</w:t>
      </w:r>
      <w:r w:rsidRPr="00BF27EF">
        <w:rPr>
          <w:rFonts w:ascii="Arial" w:eastAsia="Times New Roman" w:hAnsi="Arial" w:cs="Times New Roman"/>
          <w:b/>
          <w:sz w:val="20"/>
          <w:szCs w:val="20"/>
        </w:rPr>
        <w:t>: CFC-11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1758"/>
        <w:gridCol w:w="1980"/>
        <w:gridCol w:w="3194"/>
      </w:tblGrid>
      <w:tr w:rsidR="007B7F93" w:rsidRPr="00BF27EF" w:rsidTr="007E355B">
        <w:trPr>
          <w:trHeight w:val="432"/>
        </w:trPr>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Uncertainty component</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Estimate (ppt)</w:t>
            </w:r>
          </w:p>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i/>
                <w:sz w:val="20"/>
                <w:szCs w:val="20"/>
              </w:rPr>
              <w:t>u</w:t>
            </w:r>
            <w:r w:rsidRPr="00BF27EF">
              <w:rPr>
                <w:rFonts w:ascii="Arial" w:eastAsia="Times New Roman" w:hAnsi="Arial" w:cs="Times New Roman"/>
                <w:sz w:val="20"/>
                <w:szCs w:val="20"/>
              </w:rPr>
              <w:t>(</w:t>
            </w:r>
            <w:r w:rsidRPr="00BF27EF">
              <w:rPr>
                <w:rFonts w:ascii="Arial" w:eastAsia="Times New Roman" w:hAnsi="Arial" w:cs="Times New Roman"/>
                <w:i/>
                <w:sz w:val="20"/>
                <w:szCs w:val="20"/>
              </w:rPr>
              <w:t>k=1</w:t>
            </w:r>
            <w:r w:rsidRPr="00BF27EF">
              <w:rPr>
                <w:rFonts w:ascii="Arial" w:eastAsia="Times New Roman" w:hAnsi="Arial" w:cs="Times New Roman"/>
                <w:sz w:val="20"/>
                <w:szCs w:val="20"/>
              </w:rPr>
              <w:t>)</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Assumed distribution</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Contribution to standard uncertainty, </w:t>
            </w:r>
            <w:proofErr w:type="spellStart"/>
            <w:r w:rsidRPr="00BF27EF">
              <w:rPr>
                <w:rFonts w:ascii="Arial" w:eastAsia="Times New Roman" w:hAnsi="Arial" w:cs="Times New Roman"/>
                <w:i/>
                <w:sz w:val="20"/>
                <w:szCs w:val="20"/>
              </w:rPr>
              <w:t>ui</w:t>
            </w:r>
            <w:proofErr w:type="spellEnd"/>
            <w:r w:rsidRPr="00BF27EF">
              <w:rPr>
                <w:rFonts w:ascii="Arial" w:eastAsia="Times New Roman" w:hAnsi="Arial" w:cs="Times New Roman"/>
                <w:sz w:val="20"/>
                <w:szCs w:val="20"/>
              </w:rPr>
              <w:t>(y)</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Gravimetric Standards</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0.3</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0.429</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Analytical precision</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0.143</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Sample to </w:t>
            </w:r>
            <w:proofErr w:type="spellStart"/>
            <w:r w:rsidRPr="00BF27EF">
              <w:rPr>
                <w:rFonts w:ascii="Arial" w:eastAsia="Times New Roman" w:hAnsi="Arial" w:cs="Times New Roman"/>
                <w:sz w:val="20"/>
                <w:szCs w:val="20"/>
              </w:rPr>
              <w:t>Grav</w:t>
            </w:r>
            <w:proofErr w:type="spellEnd"/>
            <w:r w:rsidRPr="00BF27EF">
              <w:rPr>
                <w:rFonts w:ascii="Arial" w:eastAsia="Times New Roman" w:hAnsi="Arial" w:cs="Times New Roman"/>
                <w:sz w:val="20"/>
                <w:szCs w:val="20"/>
              </w:rPr>
              <w:t xml:space="preserve"> Stds</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0.3</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0.429</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r>
    </w:tbl>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 xml:space="preserve">Coverage factor: </w:t>
      </w:r>
      <w:r w:rsidRPr="00BF27EF">
        <w:rPr>
          <w:rFonts w:ascii="Arial" w:eastAsia="Times New Roman" w:hAnsi="Arial" w:cs="Times New Roman"/>
          <w:i/>
          <w:sz w:val="20"/>
          <w:szCs w:val="20"/>
        </w:rPr>
        <w:t>k=</w:t>
      </w:r>
      <w:r w:rsidRPr="00BF27EF">
        <w:rPr>
          <w:rFonts w:ascii="Arial" w:eastAsia="Times New Roman" w:hAnsi="Arial" w:cs="Times New Roman"/>
          <w:sz w:val="20"/>
          <w:szCs w:val="20"/>
        </w:rPr>
        <w:t>2</w:t>
      </w:r>
    </w:p>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 xml:space="preserve">Expanded uncertainty: </w:t>
      </w:r>
      <w:proofErr w:type="gramStart"/>
      <w:r w:rsidRPr="00BF27EF">
        <w:rPr>
          <w:rFonts w:ascii="Arial" w:eastAsia="Times New Roman" w:hAnsi="Arial" w:cs="Times New Roman"/>
          <w:sz w:val="20"/>
          <w:szCs w:val="20"/>
        </w:rPr>
        <w:t>0.8 pmol/mol</w:t>
      </w:r>
      <w:proofErr w:type="gramEnd"/>
    </w:p>
    <w:p w:rsidR="007B7F93" w:rsidRDefault="007B7F93" w:rsidP="007B7F93">
      <w:pPr>
        <w:widowControl w:val="0"/>
        <w:tabs>
          <w:tab w:val="left" w:pos="283"/>
          <w:tab w:val="left" w:pos="1190"/>
          <w:tab w:val="right" w:pos="3410"/>
          <w:tab w:val="left" w:pos="3688"/>
        </w:tabs>
        <w:spacing w:after="0" w:line="240" w:lineRule="auto"/>
        <w:rPr>
          <w:rFonts w:ascii="Arial" w:eastAsia="Times New Roman" w:hAnsi="Arial" w:cs="Times New Roman"/>
          <w:sz w:val="20"/>
          <w:szCs w:val="20"/>
        </w:rPr>
      </w:pPr>
    </w:p>
    <w:p w:rsidR="007B7F93" w:rsidRPr="00BF27EF" w:rsidRDefault="007B7F93" w:rsidP="007B7F93">
      <w:pPr>
        <w:widowControl w:val="0"/>
        <w:tabs>
          <w:tab w:val="left" w:pos="283"/>
          <w:tab w:val="left" w:pos="1190"/>
          <w:tab w:val="right" w:pos="3410"/>
          <w:tab w:val="left" w:pos="3688"/>
        </w:tabs>
        <w:spacing w:after="0" w:line="240" w:lineRule="auto"/>
        <w:rPr>
          <w:rFonts w:ascii="Arial" w:eastAsia="Times New Roman" w:hAnsi="Arial" w:cs="Times New Roman"/>
          <w:sz w:val="20"/>
          <w:szCs w:val="20"/>
        </w:rPr>
      </w:pPr>
    </w:p>
    <w:p w:rsidR="007B7F93" w:rsidRPr="00BF27EF" w:rsidRDefault="007B7F93" w:rsidP="007B7F93">
      <w:pPr>
        <w:widowControl w:val="0"/>
        <w:numPr>
          <w:ilvl w:val="0"/>
          <w:numId w:val="1"/>
        </w:numPr>
        <w:tabs>
          <w:tab w:val="left" w:pos="283"/>
          <w:tab w:val="left" w:pos="1190"/>
          <w:tab w:val="right" w:pos="3410"/>
          <w:tab w:val="left" w:pos="3688"/>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Uncertainty table</w:t>
      </w:r>
      <w:r w:rsidRPr="00BF27EF">
        <w:rPr>
          <w:rFonts w:ascii="Arial" w:eastAsia="Times New Roman" w:hAnsi="Arial" w:cs="Times New Roman"/>
          <w:b/>
          <w:sz w:val="20"/>
          <w:szCs w:val="20"/>
        </w:rPr>
        <w:t>: CFC-113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1758"/>
        <w:gridCol w:w="1980"/>
        <w:gridCol w:w="3194"/>
      </w:tblGrid>
      <w:tr w:rsidR="007B7F93" w:rsidRPr="00BF27EF" w:rsidTr="007E355B">
        <w:trPr>
          <w:trHeight w:val="432"/>
        </w:trPr>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Uncertainty component</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Estimate (ppt)</w:t>
            </w:r>
          </w:p>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i/>
                <w:sz w:val="20"/>
                <w:szCs w:val="20"/>
              </w:rPr>
              <w:t>u</w:t>
            </w:r>
            <w:r w:rsidRPr="00BF27EF">
              <w:rPr>
                <w:rFonts w:ascii="Arial" w:eastAsia="Times New Roman" w:hAnsi="Arial" w:cs="Times New Roman"/>
                <w:sz w:val="20"/>
                <w:szCs w:val="20"/>
              </w:rPr>
              <w:t>(</w:t>
            </w:r>
            <w:r w:rsidRPr="00BF27EF">
              <w:rPr>
                <w:rFonts w:ascii="Arial" w:eastAsia="Times New Roman" w:hAnsi="Arial" w:cs="Times New Roman"/>
                <w:i/>
                <w:sz w:val="20"/>
                <w:szCs w:val="20"/>
              </w:rPr>
              <w:t>k=1</w:t>
            </w:r>
            <w:r w:rsidRPr="00BF27EF">
              <w:rPr>
                <w:rFonts w:ascii="Arial" w:eastAsia="Times New Roman" w:hAnsi="Arial" w:cs="Times New Roman"/>
                <w:sz w:val="20"/>
                <w:szCs w:val="20"/>
              </w:rPr>
              <w:t>)</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Assumed distribution</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Contribution to standard uncertainty, </w:t>
            </w:r>
            <w:proofErr w:type="spellStart"/>
            <w:r w:rsidRPr="00BF27EF">
              <w:rPr>
                <w:rFonts w:ascii="Arial" w:eastAsia="Times New Roman" w:hAnsi="Arial" w:cs="Times New Roman"/>
                <w:i/>
                <w:sz w:val="20"/>
                <w:szCs w:val="20"/>
              </w:rPr>
              <w:t>ui</w:t>
            </w:r>
            <w:proofErr w:type="spellEnd"/>
            <w:r w:rsidRPr="00BF27EF">
              <w:rPr>
                <w:rFonts w:ascii="Arial" w:eastAsia="Times New Roman" w:hAnsi="Arial" w:cs="Times New Roman"/>
                <w:sz w:val="20"/>
                <w:szCs w:val="20"/>
              </w:rPr>
              <w:t>(y)</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Gravimetric Standards</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0.00429</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Analytical precision</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0.143</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Sample to </w:t>
            </w:r>
            <w:proofErr w:type="spellStart"/>
            <w:r w:rsidRPr="00BF27EF">
              <w:rPr>
                <w:rFonts w:ascii="Arial" w:eastAsia="Times New Roman" w:hAnsi="Arial" w:cs="Times New Roman"/>
                <w:sz w:val="20"/>
                <w:szCs w:val="20"/>
              </w:rPr>
              <w:t>Grav</w:t>
            </w:r>
            <w:proofErr w:type="spellEnd"/>
            <w:r w:rsidRPr="00BF27EF">
              <w:rPr>
                <w:rFonts w:ascii="Arial" w:eastAsia="Times New Roman" w:hAnsi="Arial" w:cs="Times New Roman"/>
                <w:sz w:val="20"/>
                <w:szCs w:val="20"/>
              </w:rPr>
              <w:t xml:space="preserve"> Stds</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0.13</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0.394</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r>
    </w:tbl>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 xml:space="preserve">Coverage factor: </w:t>
      </w:r>
      <w:r w:rsidRPr="00BF27EF">
        <w:rPr>
          <w:rFonts w:ascii="Arial" w:eastAsia="Times New Roman" w:hAnsi="Arial" w:cs="Times New Roman"/>
          <w:i/>
          <w:sz w:val="20"/>
          <w:szCs w:val="20"/>
        </w:rPr>
        <w:t>k=</w:t>
      </w:r>
      <w:r w:rsidRPr="00BF27EF">
        <w:rPr>
          <w:rFonts w:ascii="Arial" w:eastAsia="Times New Roman" w:hAnsi="Arial" w:cs="Times New Roman"/>
          <w:sz w:val="20"/>
          <w:szCs w:val="20"/>
        </w:rPr>
        <w:t>2</w:t>
      </w:r>
    </w:p>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 xml:space="preserve">Expanded uncertainty: </w:t>
      </w:r>
      <w:proofErr w:type="gramStart"/>
      <w:r w:rsidRPr="00BF27EF">
        <w:rPr>
          <w:rFonts w:ascii="Arial" w:eastAsia="Times New Roman" w:hAnsi="Arial" w:cs="Times New Roman"/>
          <w:sz w:val="20"/>
          <w:szCs w:val="20"/>
        </w:rPr>
        <w:t>0.38 pmol/mol</w:t>
      </w:r>
      <w:proofErr w:type="gramEnd"/>
    </w:p>
    <w:p w:rsidR="007B7F93" w:rsidRDefault="007B7F93" w:rsidP="007B7F93">
      <w:pPr>
        <w:widowControl w:val="0"/>
        <w:tabs>
          <w:tab w:val="left" w:pos="0"/>
          <w:tab w:val="left" w:pos="2853"/>
        </w:tabs>
        <w:spacing w:after="0" w:line="240" w:lineRule="auto"/>
        <w:rPr>
          <w:rFonts w:ascii="Arial" w:eastAsia="Times New Roman" w:hAnsi="Arial" w:cs="Times New Roman"/>
          <w:sz w:val="20"/>
          <w:szCs w:val="20"/>
        </w:rPr>
      </w:pPr>
    </w:p>
    <w:p w:rsidR="007B7F93" w:rsidRPr="00BF27EF" w:rsidRDefault="007B7F93" w:rsidP="007B7F93">
      <w:pPr>
        <w:widowControl w:val="0"/>
        <w:tabs>
          <w:tab w:val="left" w:pos="0"/>
          <w:tab w:val="left" w:pos="2853"/>
        </w:tabs>
        <w:spacing w:after="0" w:line="240" w:lineRule="auto"/>
        <w:rPr>
          <w:rFonts w:ascii="Arial" w:eastAsia="Times New Roman" w:hAnsi="Arial" w:cs="Times New Roman"/>
          <w:sz w:val="20"/>
          <w:szCs w:val="20"/>
        </w:rPr>
      </w:pPr>
    </w:p>
    <w:p w:rsidR="007B7F93" w:rsidRPr="00BF27EF" w:rsidRDefault="007B7F93" w:rsidP="007B7F93">
      <w:pPr>
        <w:widowControl w:val="0"/>
        <w:numPr>
          <w:ilvl w:val="0"/>
          <w:numId w:val="1"/>
        </w:numPr>
        <w:tabs>
          <w:tab w:val="left" w:pos="283"/>
          <w:tab w:val="left" w:pos="1190"/>
          <w:tab w:val="right" w:pos="3410"/>
          <w:tab w:val="left" w:pos="3688"/>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Uncertainty table</w:t>
      </w:r>
      <w:r w:rsidRPr="00BF27EF">
        <w:rPr>
          <w:rFonts w:ascii="Arial" w:eastAsia="Times New Roman" w:hAnsi="Arial" w:cs="Times New Roman"/>
          <w:b/>
          <w:sz w:val="20"/>
          <w:szCs w:val="20"/>
        </w:rPr>
        <w:t>: HFC-134a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1758"/>
        <w:gridCol w:w="1980"/>
        <w:gridCol w:w="3194"/>
      </w:tblGrid>
      <w:tr w:rsidR="007B7F93" w:rsidRPr="00BF27EF" w:rsidTr="007E355B">
        <w:trPr>
          <w:trHeight w:val="432"/>
        </w:trPr>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Uncertainty component</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Estimate (ppt)</w:t>
            </w:r>
          </w:p>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i/>
                <w:sz w:val="20"/>
                <w:szCs w:val="20"/>
              </w:rPr>
              <w:t>u</w:t>
            </w:r>
            <w:r w:rsidRPr="00BF27EF">
              <w:rPr>
                <w:rFonts w:ascii="Arial" w:eastAsia="Times New Roman" w:hAnsi="Arial" w:cs="Times New Roman"/>
                <w:sz w:val="20"/>
                <w:szCs w:val="20"/>
              </w:rPr>
              <w:t>(</w:t>
            </w:r>
            <w:r w:rsidRPr="00BF27EF">
              <w:rPr>
                <w:rFonts w:ascii="Arial" w:eastAsia="Times New Roman" w:hAnsi="Arial" w:cs="Times New Roman"/>
                <w:i/>
                <w:sz w:val="20"/>
                <w:szCs w:val="20"/>
              </w:rPr>
              <w:t>k=1</w:t>
            </w:r>
            <w:r w:rsidRPr="00BF27EF">
              <w:rPr>
                <w:rFonts w:ascii="Arial" w:eastAsia="Times New Roman" w:hAnsi="Arial" w:cs="Times New Roman"/>
                <w:sz w:val="20"/>
                <w:szCs w:val="20"/>
              </w:rPr>
              <w:t>)</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Assumed distribution</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Contribution to standard uncertainty, </w:t>
            </w:r>
            <w:proofErr w:type="spellStart"/>
            <w:r w:rsidRPr="00BF27EF">
              <w:rPr>
                <w:rFonts w:ascii="Arial" w:eastAsia="Times New Roman" w:hAnsi="Arial" w:cs="Times New Roman"/>
                <w:i/>
                <w:sz w:val="20"/>
                <w:szCs w:val="20"/>
              </w:rPr>
              <w:t>ui</w:t>
            </w:r>
            <w:proofErr w:type="spellEnd"/>
            <w:r w:rsidRPr="00BF27EF">
              <w:rPr>
                <w:rFonts w:ascii="Arial" w:eastAsia="Times New Roman" w:hAnsi="Arial" w:cs="Times New Roman"/>
                <w:sz w:val="20"/>
                <w:szCs w:val="20"/>
              </w:rPr>
              <w:t>(y)</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Gravimetric Standards</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0.6</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0.00429</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Analytical precision</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0.8</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0.143</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Sample to </w:t>
            </w:r>
            <w:proofErr w:type="spellStart"/>
            <w:r w:rsidRPr="00BF27EF">
              <w:rPr>
                <w:rFonts w:ascii="Arial" w:eastAsia="Times New Roman" w:hAnsi="Arial" w:cs="Times New Roman"/>
                <w:sz w:val="20"/>
                <w:szCs w:val="20"/>
              </w:rPr>
              <w:t>Grav</w:t>
            </w:r>
            <w:proofErr w:type="spellEnd"/>
            <w:r w:rsidRPr="00BF27EF">
              <w:rPr>
                <w:rFonts w:ascii="Arial" w:eastAsia="Times New Roman" w:hAnsi="Arial" w:cs="Times New Roman"/>
                <w:sz w:val="20"/>
                <w:szCs w:val="20"/>
              </w:rPr>
              <w:t xml:space="preserve"> Stds</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0.5</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0.394</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r>
    </w:tbl>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 xml:space="preserve">Coverage factor: </w:t>
      </w:r>
      <w:r w:rsidRPr="00BF27EF">
        <w:rPr>
          <w:rFonts w:ascii="Arial" w:eastAsia="Times New Roman" w:hAnsi="Arial" w:cs="Times New Roman"/>
          <w:i/>
          <w:sz w:val="20"/>
          <w:szCs w:val="20"/>
        </w:rPr>
        <w:t>k=</w:t>
      </w:r>
      <w:r w:rsidRPr="00BF27EF">
        <w:rPr>
          <w:rFonts w:ascii="Arial" w:eastAsia="Times New Roman" w:hAnsi="Arial" w:cs="Times New Roman"/>
          <w:sz w:val="20"/>
          <w:szCs w:val="20"/>
        </w:rPr>
        <w:t>2</w:t>
      </w:r>
    </w:p>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 xml:space="preserve">Expanded uncertainty: </w:t>
      </w:r>
      <w:proofErr w:type="gramStart"/>
      <w:r w:rsidRPr="00BF27EF">
        <w:rPr>
          <w:rFonts w:ascii="Arial" w:eastAsia="Times New Roman" w:hAnsi="Arial" w:cs="Times New Roman"/>
          <w:sz w:val="20"/>
          <w:szCs w:val="20"/>
        </w:rPr>
        <w:t>2.2 pmol/mol</w:t>
      </w:r>
      <w:proofErr w:type="gramEnd"/>
    </w:p>
    <w:p w:rsidR="007B7F93" w:rsidRDefault="007B7F93" w:rsidP="007B7F93">
      <w:pPr>
        <w:widowControl w:val="0"/>
        <w:tabs>
          <w:tab w:val="left" w:pos="283"/>
          <w:tab w:val="left" w:pos="1190"/>
          <w:tab w:val="right" w:pos="3410"/>
          <w:tab w:val="left" w:pos="3688"/>
        </w:tabs>
        <w:spacing w:after="0" w:line="240" w:lineRule="auto"/>
        <w:rPr>
          <w:rFonts w:ascii="Arial" w:eastAsia="Times New Roman" w:hAnsi="Arial" w:cs="Times New Roman"/>
          <w:sz w:val="20"/>
          <w:szCs w:val="20"/>
        </w:rPr>
      </w:pPr>
    </w:p>
    <w:p w:rsidR="007B7F93" w:rsidRPr="00BF27EF" w:rsidRDefault="007B7F93" w:rsidP="007B7F93">
      <w:pPr>
        <w:widowControl w:val="0"/>
        <w:tabs>
          <w:tab w:val="left" w:pos="283"/>
          <w:tab w:val="left" w:pos="1190"/>
          <w:tab w:val="right" w:pos="3410"/>
          <w:tab w:val="left" w:pos="3688"/>
        </w:tabs>
        <w:spacing w:after="0" w:line="240" w:lineRule="auto"/>
        <w:rPr>
          <w:rFonts w:ascii="Arial" w:eastAsia="Times New Roman" w:hAnsi="Arial" w:cs="Times New Roman"/>
          <w:sz w:val="20"/>
          <w:szCs w:val="20"/>
        </w:rPr>
      </w:pPr>
    </w:p>
    <w:p w:rsidR="007B7F93" w:rsidRPr="00BF27EF" w:rsidRDefault="007B7F93" w:rsidP="007B7F93">
      <w:pPr>
        <w:widowControl w:val="0"/>
        <w:numPr>
          <w:ilvl w:val="0"/>
          <w:numId w:val="1"/>
        </w:numPr>
        <w:tabs>
          <w:tab w:val="left" w:pos="283"/>
          <w:tab w:val="left" w:pos="1190"/>
          <w:tab w:val="right" w:pos="3410"/>
          <w:tab w:val="left" w:pos="3688"/>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lastRenderedPageBreak/>
        <w:t>Uncertainty table</w:t>
      </w:r>
      <w:r w:rsidRPr="00BF27EF">
        <w:rPr>
          <w:rFonts w:ascii="Arial" w:eastAsia="Times New Roman" w:hAnsi="Arial" w:cs="Times New Roman"/>
          <w:b/>
          <w:sz w:val="20"/>
          <w:szCs w:val="20"/>
        </w:rPr>
        <w:t>: HCFC-22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1758"/>
        <w:gridCol w:w="1980"/>
        <w:gridCol w:w="3194"/>
      </w:tblGrid>
      <w:tr w:rsidR="007B7F93" w:rsidRPr="00BF27EF" w:rsidTr="007E355B">
        <w:trPr>
          <w:trHeight w:val="432"/>
        </w:trPr>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Uncertainty component</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Estimate (ppt)</w:t>
            </w:r>
          </w:p>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i/>
                <w:sz w:val="20"/>
                <w:szCs w:val="20"/>
              </w:rPr>
              <w:t>u</w:t>
            </w:r>
            <w:r w:rsidRPr="00BF27EF">
              <w:rPr>
                <w:rFonts w:ascii="Arial" w:eastAsia="Times New Roman" w:hAnsi="Arial" w:cs="Times New Roman"/>
                <w:sz w:val="20"/>
                <w:szCs w:val="20"/>
              </w:rPr>
              <w:t>(</w:t>
            </w:r>
            <w:r w:rsidRPr="00BF27EF">
              <w:rPr>
                <w:rFonts w:ascii="Arial" w:eastAsia="Times New Roman" w:hAnsi="Arial" w:cs="Times New Roman"/>
                <w:i/>
                <w:sz w:val="20"/>
                <w:szCs w:val="20"/>
              </w:rPr>
              <w:t>k=1</w:t>
            </w:r>
            <w:r w:rsidRPr="00BF27EF">
              <w:rPr>
                <w:rFonts w:ascii="Arial" w:eastAsia="Times New Roman" w:hAnsi="Arial" w:cs="Times New Roman"/>
                <w:sz w:val="20"/>
                <w:szCs w:val="20"/>
              </w:rPr>
              <w:t>)</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Assumed distribution</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Contribution to standard uncertainty, </w:t>
            </w:r>
            <w:proofErr w:type="spellStart"/>
            <w:r w:rsidRPr="00BF27EF">
              <w:rPr>
                <w:rFonts w:ascii="Arial" w:eastAsia="Times New Roman" w:hAnsi="Arial" w:cs="Times New Roman"/>
                <w:i/>
                <w:sz w:val="20"/>
                <w:szCs w:val="20"/>
              </w:rPr>
              <w:t>ui</w:t>
            </w:r>
            <w:proofErr w:type="spellEnd"/>
            <w:r w:rsidRPr="00BF27EF">
              <w:rPr>
                <w:rFonts w:ascii="Arial" w:eastAsia="Times New Roman" w:hAnsi="Arial" w:cs="Times New Roman"/>
                <w:sz w:val="20"/>
                <w:szCs w:val="20"/>
              </w:rPr>
              <w:t>(y)</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Gravimetric Standards</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1.0</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0.00429</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Analytical precision</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1.0</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0.143</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Sample to </w:t>
            </w:r>
            <w:proofErr w:type="spellStart"/>
            <w:r w:rsidRPr="00BF27EF">
              <w:rPr>
                <w:rFonts w:ascii="Arial" w:eastAsia="Times New Roman" w:hAnsi="Arial" w:cs="Times New Roman"/>
                <w:sz w:val="20"/>
                <w:szCs w:val="20"/>
              </w:rPr>
              <w:t>Grav</w:t>
            </w:r>
            <w:proofErr w:type="spellEnd"/>
            <w:r w:rsidRPr="00BF27EF">
              <w:rPr>
                <w:rFonts w:ascii="Arial" w:eastAsia="Times New Roman" w:hAnsi="Arial" w:cs="Times New Roman"/>
                <w:sz w:val="20"/>
                <w:szCs w:val="20"/>
              </w:rPr>
              <w:t xml:space="preserve"> Stds</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0.5</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0.394</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r>
    </w:tbl>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 xml:space="preserve">Coverage factor: </w:t>
      </w:r>
      <w:r w:rsidRPr="00BF27EF">
        <w:rPr>
          <w:rFonts w:ascii="Arial" w:eastAsia="Times New Roman" w:hAnsi="Arial" w:cs="Times New Roman"/>
          <w:i/>
          <w:sz w:val="20"/>
          <w:szCs w:val="20"/>
        </w:rPr>
        <w:t>k=</w:t>
      </w:r>
      <w:r w:rsidRPr="00BF27EF">
        <w:rPr>
          <w:rFonts w:ascii="Arial" w:eastAsia="Times New Roman" w:hAnsi="Arial" w:cs="Times New Roman"/>
          <w:sz w:val="20"/>
          <w:szCs w:val="20"/>
        </w:rPr>
        <w:t>2</w:t>
      </w:r>
    </w:p>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 xml:space="preserve">Expanded uncertainty: </w:t>
      </w:r>
      <w:proofErr w:type="gramStart"/>
      <w:r w:rsidRPr="00BF27EF">
        <w:rPr>
          <w:rFonts w:ascii="Arial" w:eastAsia="Times New Roman" w:hAnsi="Arial" w:cs="Times New Roman"/>
          <w:sz w:val="20"/>
          <w:szCs w:val="20"/>
        </w:rPr>
        <w:t>3.0 pmol/mol</w:t>
      </w:r>
      <w:proofErr w:type="gramEnd"/>
    </w:p>
    <w:p w:rsidR="007B7F93" w:rsidRDefault="007B7F93" w:rsidP="007B7F93">
      <w:pPr>
        <w:widowControl w:val="0"/>
        <w:tabs>
          <w:tab w:val="left" w:pos="283"/>
          <w:tab w:val="left" w:pos="1190"/>
          <w:tab w:val="right" w:pos="3410"/>
          <w:tab w:val="left" w:pos="3688"/>
        </w:tabs>
        <w:spacing w:after="0" w:line="240" w:lineRule="auto"/>
        <w:ind w:left="643"/>
        <w:rPr>
          <w:rFonts w:ascii="Arial" w:eastAsia="Times New Roman" w:hAnsi="Arial" w:cs="Times New Roman"/>
          <w:sz w:val="20"/>
          <w:szCs w:val="20"/>
        </w:rPr>
      </w:pPr>
    </w:p>
    <w:p w:rsidR="007B7F93" w:rsidRPr="00BF27EF" w:rsidRDefault="007B7F93" w:rsidP="007B7F93">
      <w:pPr>
        <w:widowControl w:val="0"/>
        <w:tabs>
          <w:tab w:val="left" w:pos="283"/>
          <w:tab w:val="left" w:pos="1190"/>
          <w:tab w:val="right" w:pos="3410"/>
          <w:tab w:val="left" w:pos="3688"/>
        </w:tabs>
        <w:spacing w:after="0" w:line="240" w:lineRule="auto"/>
        <w:ind w:left="643"/>
        <w:rPr>
          <w:rFonts w:ascii="Arial" w:eastAsia="Times New Roman" w:hAnsi="Arial" w:cs="Times New Roman"/>
          <w:sz w:val="20"/>
          <w:szCs w:val="20"/>
        </w:rPr>
      </w:pPr>
    </w:p>
    <w:p w:rsidR="007B7F93" w:rsidRPr="00BF27EF" w:rsidRDefault="007B7F93" w:rsidP="007B7F93">
      <w:pPr>
        <w:widowControl w:val="0"/>
        <w:numPr>
          <w:ilvl w:val="0"/>
          <w:numId w:val="1"/>
        </w:numPr>
        <w:tabs>
          <w:tab w:val="left" w:pos="283"/>
          <w:tab w:val="left" w:pos="1190"/>
          <w:tab w:val="right" w:pos="3410"/>
          <w:tab w:val="left" w:pos="3688"/>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Uncertainty table</w:t>
      </w:r>
      <w:r w:rsidRPr="00BF27EF">
        <w:rPr>
          <w:rFonts w:ascii="Arial" w:eastAsia="Times New Roman" w:hAnsi="Arial" w:cs="Times New Roman"/>
          <w:b/>
          <w:sz w:val="20"/>
          <w:szCs w:val="20"/>
        </w:rPr>
        <w:t>: HCFC-142b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1758"/>
        <w:gridCol w:w="1980"/>
        <w:gridCol w:w="3194"/>
      </w:tblGrid>
      <w:tr w:rsidR="007B7F93" w:rsidRPr="00BF27EF" w:rsidTr="007E355B">
        <w:trPr>
          <w:trHeight w:val="432"/>
        </w:trPr>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Uncertainty component</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Estimate (ppt)</w:t>
            </w:r>
          </w:p>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i/>
                <w:sz w:val="20"/>
                <w:szCs w:val="20"/>
              </w:rPr>
              <w:t>u</w:t>
            </w:r>
            <w:r w:rsidRPr="00BF27EF">
              <w:rPr>
                <w:rFonts w:ascii="Arial" w:eastAsia="Times New Roman" w:hAnsi="Arial" w:cs="Times New Roman"/>
                <w:sz w:val="20"/>
                <w:szCs w:val="20"/>
              </w:rPr>
              <w:t>(</w:t>
            </w:r>
            <w:r w:rsidRPr="00BF27EF">
              <w:rPr>
                <w:rFonts w:ascii="Arial" w:eastAsia="Times New Roman" w:hAnsi="Arial" w:cs="Times New Roman"/>
                <w:i/>
                <w:sz w:val="20"/>
                <w:szCs w:val="20"/>
              </w:rPr>
              <w:t>k=1</w:t>
            </w:r>
            <w:r w:rsidRPr="00BF27EF">
              <w:rPr>
                <w:rFonts w:ascii="Arial" w:eastAsia="Times New Roman" w:hAnsi="Arial" w:cs="Times New Roman"/>
                <w:sz w:val="20"/>
                <w:szCs w:val="20"/>
              </w:rPr>
              <w:t>)</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Assumed distribution</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Contribution to standard uncertainty, </w:t>
            </w:r>
            <w:proofErr w:type="spellStart"/>
            <w:r w:rsidRPr="00BF27EF">
              <w:rPr>
                <w:rFonts w:ascii="Arial" w:eastAsia="Times New Roman" w:hAnsi="Arial" w:cs="Times New Roman"/>
                <w:i/>
                <w:sz w:val="20"/>
                <w:szCs w:val="20"/>
              </w:rPr>
              <w:t>ui</w:t>
            </w:r>
            <w:proofErr w:type="spellEnd"/>
            <w:r w:rsidRPr="00BF27EF">
              <w:rPr>
                <w:rFonts w:ascii="Arial" w:eastAsia="Times New Roman" w:hAnsi="Arial" w:cs="Times New Roman"/>
                <w:sz w:val="20"/>
                <w:szCs w:val="20"/>
              </w:rPr>
              <w:t>(y)</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Gravimetric Standards</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0.15</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0.00429</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Analytical precision</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0.10</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0.143</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 xml:space="preserve">Sample to </w:t>
            </w:r>
            <w:proofErr w:type="spellStart"/>
            <w:r w:rsidRPr="00BF27EF">
              <w:rPr>
                <w:rFonts w:ascii="Arial" w:eastAsia="Times New Roman" w:hAnsi="Arial" w:cs="Times New Roman"/>
                <w:sz w:val="20"/>
                <w:szCs w:val="20"/>
              </w:rPr>
              <w:t>Grav</w:t>
            </w:r>
            <w:proofErr w:type="spellEnd"/>
            <w:r w:rsidRPr="00BF27EF">
              <w:rPr>
                <w:rFonts w:ascii="Arial" w:eastAsia="Times New Roman" w:hAnsi="Arial" w:cs="Times New Roman"/>
                <w:sz w:val="20"/>
                <w:szCs w:val="20"/>
              </w:rPr>
              <w:t xml:space="preserve"> Stds</w:t>
            </w: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0.20</w:t>
            </w: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normal</w:t>
            </w: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r w:rsidRPr="00BF27EF">
              <w:rPr>
                <w:rFonts w:ascii="Arial" w:eastAsia="Times New Roman" w:hAnsi="Arial" w:cs="Times New Roman"/>
                <w:sz w:val="20"/>
                <w:szCs w:val="20"/>
              </w:rPr>
              <w:t>0.394</w:t>
            </w:r>
          </w:p>
        </w:tc>
      </w:tr>
      <w:tr w:rsidR="007B7F93" w:rsidRPr="00BF27EF" w:rsidTr="007E355B">
        <w:tc>
          <w:tcPr>
            <w:tcW w:w="231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1758"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1980"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c>
          <w:tcPr>
            <w:tcW w:w="3194" w:type="dxa"/>
          </w:tcPr>
          <w:p w:rsidR="007B7F93" w:rsidRPr="00BF27EF" w:rsidRDefault="007B7F93" w:rsidP="007E355B">
            <w:pPr>
              <w:widowControl w:val="0"/>
              <w:tabs>
                <w:tab w:val="left" w:pos="0"/>
                <w:tab w:val="left" w:pos="2853"/>
              </w:tabs>
              <w:spacing w:after="0" w:line="240" w:lineRule="auto"/>
              <w:rPr>
                <w:rFonts w:ascii="Arial" w:eastAsia="Times New Roman" w:hAnsi="Arial" w:cs="Times New Roman"/>
                <w:sz w:val="20"/>
                <w:szCs w:val="20"/>
              </w:rPr>
            </w:pPr>
          </w:p>
        </w:tc>
      </w:tr>
    </w:tbl>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 xml:space="preserve">Coverage factor: </w:t>
      </w:r>
      <w:r w:rsidRPr="00BF27EF">
        <w:rPr>
          <w:rFonts w:ascii="Arial" w:eastAsia="Times New Roman" w:hAnsi="Arial" w:cs="Times New Roman"/>
          <w:i/>
          <w:sz w:val="20"/>
          <w:szCs w:val="20"/>
        </w:rPr>
        <w:t>k=</w:t>
      </w:r>
      <w:r w:rsidRPr="00BF27EF">
        <w:rPr>
          <w:rFonts w:ascii="Arial" w:eastAsia="Times New Roman" w:hAnsi="Arial" w:cs="Times New Roman"/>
          <w:sz w:val="20"/>
          <w:szCs w:val="20"/>
        </w:rPr>
        <w:t>2</w:t>
      </w:r>
    </w:p>
    <w:p w:rsidR="007B7F93" w:rsidRPr="00BF27EF" w:rsidRDefault="007B7F93" w:rsidP="007B7F93">
      <w:pPr>
        <w:widowControl w:val="0"/>
        <w:tabs>
          <w:tab w:val="left" w:pos="0"/>
          <w:tab w:val="left" w:pos="2853"/>
        </w:tabs>
        <w:spacing w:after="0" w:line="240" w:lineRule="auto"/>
        <w:jc w:val="both"/>
        <w:rPr>
          <w:rFonts w:ascii="Arial" w:eastAsia="Times New Roman" w:hAnsi="Arial" w:cs="Times New Roman"/>
          <w:sz w:val="20"/>
          <w:szCs w:val="20"/>
        </w:rPr>
      </w:pPr>
      <w:r w:rsidRPr="00BF27EF">
        <w:rPr>
          <w:rFonts w:ascii="Arial" w:eastAsia="Times New Roman" w:hAnsi="Arial" w:cs="Times New Roman"/>
          <w:sz w:val="20"/>
          <w:szCs w:val="20"/>
        </w:rPr>
        <w:t xml:space="preserve">Expanded uncertainty: </w:t>
      </w:r>
      <w:proofErr w:type="gramStart"/>
      <w:r w:rsidRPr="00BF27EF">
        <w:rPr>
          <w:rFonts w:ascii="Arial" w:eastAsia="Times New Roman" w:hAnsi="Arial" w:cs="Times New Roman"/>
          <w:sz w:val="20"/>
          <w:szCs w:val="20"/>
        </w:rPr>
        <w:t>0.54 pmol/mol</w:t>
      </w:r>
      <w:proofErr w:type="gramEnd"/>
    </w:p>
    <w:p w:rsidR="003C429B" w:rsidRDefault="003C429B"/>
    <w:sectPr w:rsidR="003C4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037EE"/>
    <w:multiLevelType w:val="singleLevel"/>
    <w:tmpl w:val="C6DC8D40"/>
    <w:lvl w:ilvl="0">
      <w:start w:val="1"/>
      <w:numFmt w:val="lowerLetter"/>
      <w:lvlText w:val="%1)"/>
      <w:lvlJc w:val="left"/>
      <w:pPr>
        <w:tabs>
          <w:tab w:val="num" w:pos="643"/>
        </w:tabs>
        <w:ind w:left="64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93"/>
    <w:rsid w:val="003C429B"/>
    <w:rsid w:val="007B7F93"/>
    <w:rsid w:val="00E4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Rhoderick, George C</dc:creator>
  <cp:lastModifiedBy>Rhoderick, George C</cp:lastModifiedBy>
  <cp:revision>1</cp:revision>
  <dcterms:created xsi:type="dcterms:W3CDTF">2015-10-05T14:54:00Z</dcterms:created>
  <dcterms:modified xsi:type="dcterms:W3CDTF">2015-10-05T15:12:00Z</dcterms:modified>
</cp:coreProperties>
</file>