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21" w:rsidRDefault="00954521" w:rsidP="00954521">
      <w:pPr>
        <w:keepNext/>
        <w:widowControl w:val="0"/>
        <w:suppressAutoHyphens/>
        <w:spacing w:after="0" w:line="240" w:lineRule="auto"/>
        <w:jc w:val="center"/>
        <w:outlineLvl w:val="0"/>
        <w:rPr>
          <w:rFonts w:ascii="Arial" w:eastAsia="Times New Roman" w:hAnsi="Arial" w:cs="Arial"/>
          <w:sz w:val="24"/>
          <w:szCs w:val="24"/>
          <w:lang w:eastAsia="zh-CN"/>
        </w:rPr>
      </w:pPr>
      <w:bookmarkStart w:id="0" w:name="_GoBack"/>
      <w:bookmarkEnd w:id="0"/>
      <w:r>
        <w:rPr>
          <w:rFonts w:ascii="Arial" w:eastAsia="Times New Roman" w:hAnsi="Arial" w:cs="Arial"/>
          <w:sz w:val="24"/>
          <w:szCs w:val="24"/>
          <w:lang w:eastAsia="zh-CN"/>
        </w:rPr>
        <w:t>Text S5: Empa Measurement Report</w:t>
      </w:r>
    </w:p>
    <w:p w:rsidR="00954521" w:rsidRDefault="00954521" w:rsidP="00954521">
      <w:pPr>
        <w:keepNext/>
        <w:widowControl w:val="0"/>
        <w:numPr>
          <w:ilvl w:val="0"/>
          <w:numId w:val="12"/>
        </w:numPr>
        <w:suppressAutoHyphens/>
        <w:spacing w:after="0" w:line="240" w:lineRule="auto"/>
        <w:ind w:left="0" w:firstLine="1440"/>
        <w:outlineLvl w:val="0"/>
        <w:rPr>
          <w:rFonts w:ascii="Arial" w:eastAsia="Times New Roman" w:hAnsi="Arial" w:cs="Arial"/>
          <w:sz w:val="24"/>
          <w:szCs w:val="24"/>
          <w:lang w:eastAsia="zh-CN"/>
        </w:rPr>
      </w:pPr>
    </w:p>
    <w:p w:rsidR="00954521" w:rsidRPr="00B9568B" w:rsidRDefault="00954521" w:rsidP="00954521">
      <w:pPr>
        <w:keepNext/>
        <w:widowControl w:val="0"/>
        <w:numPr>
          <w:ilvl w:val="0"/>
          <w:numId w:val="12"/>
        </w:numPr>
        <w:suppressAutoHyphens/>
        <w:spacing w:after="0" w:line="240" w:lineRule="auto"/>
        <w:ind w:left="0" w:firstLine="1440"/>
        <w:outlineLvl w:val="0"/>
        <w:rPr>
          <w:rFonts w:ascii="Arial" w:eastAsia="Times New Roman" w:hAnsi="Arial" w:cs="Arial"/>
          <w:sz w:val="24"/>
          <w:szCs w:val="24"/>
          <w:lang w:eastAsia="zh-CN"/>
        </w:rPr>
      </w:pPr>
      <w:r w:rsidRPr="00B9568B">
        <w:rPr>
          <w:rFonts w:ascii="Arial" w:eastAsia="Times New Roman" w:hAnsi="Arial" w:cs="Arial"/>
          <w:sz w:val="24"/>
          <w:szCs w:val="24"/>
          <w:lang w:eastAsia="zh-CN"/>
        </w:rPr>
        <w:t>Empa Measurement report: Halocarbons in Dry Whole Air</w:t>
      </w:r>
    </w:p>
    <w:p w:rsidR="00954521" w:rsidRPr="008C1155" w:rsidRDefault="00954521" w:rsidP="00954521">
      <w:pPr>
        <w:widowControl w:val="0"/>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0"/>
          <w:tab w:val="left" w:pos="1740"/>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Laboratory</w:t>
      </w:r>
      <w:r w:rsidRPr="008C1155">
        <w:rPr>
          <w:rFonts w:ascii="Arial" w:eastAsia="Times New Roman" w:hAnsi="Arial" w:cs="Arial"/>
          <w:sz w:val="20"/>
          <w:szCs w:val="20"/>
          <w:lang w:eastAsia="zh-CN"/>
        </w:rPr>
        <w:tab/>
        <w:t>: Empa, Swiss Federal Laboratories for Material Science and Technology</w:t>
      </w: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mallCaps/>
          <w:sz w:val="24"/>
          <w:szCs w:val="20"/>
          <w:lang w:eastAsia="zh-CN"/>
        </w:rPr>
      </w:pPr>
      <w:r w:rsidRPr="008C1155">
        <w:rPr>
          <w:rFonts w:ascii="Arial" w:eastAsia="Times New Roman" w:hAnsi="Arial" w:cs="Arial"/>
          <w:sz w:val="20"/>
          <w:szCs w:val="20"/>
          <w:lang w:eastAsia="zh-CN"/>
        </w:rPr>
        <w:t>Cylinder number</w:t>
      </w:r>
      <w:r w:rsidRPr="008C1155">
        <w:rPr>
          <w:rFonts w:ascii="Arial" w:eastAsia="Times New Roman" w:hAnsi="Arial" w:cs="Arial"/>
          <w:sz w:val="20"/>
          <w:szCs w:val="20"/>
          <w:lang w:eastAsia="zh-CN"/>
        </w:rPr>
        <w:tab/>
        <w:t>: AAL073358</w:t>
      </w: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mallCaps/>
          <w:sz w:val="24"/>
          <w:szCs w:val="20"/>
          <w:lang w:eastAsia="zh-CN"/>
        </w:rPr>
      </w:pP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mallCaps/>
          <w:sz w:val="24"/>
          <w:szCs w:val="20"/>
          <w:lang w:eastAsia="zh-CN"/>
        </w:rPr>
      </w:pPr>
      <w:r w:rsidRPr="008C1155">
        <w:rPr>
          <w:rFonts w:ascii="Arial" w:eastAsia="Times New Roman" w:hAnsi="Arial" w:cs="Arial"/>
          <w:smallCaps/>
          <w:sz w:val="24"/>
          <w:szCs w:val="20"/>
          <w:lang w:eastAsia="zh-CN"/>
        </w:rPr>
        <w:t>nominal composition:</w:t>
      </w:r>
      <w:r w:rsidRPr="008C1155">
        <w:rPr>
          <w:rFonts w:ascii="Arial" w:eastAsia="Times New Roman" w:hAnsi="Arial" w:cs="Arial"/>
          <w:smallCaps/>
          <w:sz w:val="20"/>
          <w:szCs w:val="20"/>
          <w:lang w:eastAsia="zh-CN"/>
        </w:rPr>
        <w:t xml:space="preserve"> </w:t>
      </w:r>
      <w:r w:rsidRPr="008C1155">
        <w:rPr>
          <w:rFonts w:ascii="Arial" w:eastAsia="Times New Roman" w:hAnsi="Arial" w:cs="Arial"/>
          <w:sz w:val="20"/>
          <w:szCs w:val="20"/>
          <w:lang w:eastAsia="zh-CN"/>
        </w:rPr>
        <w:t>Various from</w:t>
      </w:r>
      <w:r w:rsidRPr="008C1155">
        <w:rPr>
          <w:rFonts w:ascii="Arial" w:eastAsia="Times New Roman" w:hAnsi="Arial" w:cs="Arial"/>
          <w:smallCaps/>
          <w:sz w:val="20"/>
          <w:szCs w:val="20"/>
          <w:lang w:eastAsia="zh-CN"/>
        </w:rPr>
        <w:t xml:space="preserve"> 20 x 10</w:t>
      </w:r>
      <w:r w:rsidRPr="008C1155">
        <w:rPr>
          <w:rFonts w:ascii="Arial" w:eastAsia="Times New Roman" w:hAnsi="Arial" w:cs="Arial"/>
          <w:smallCaps/>
          <w:sz w:val="20"/>
          <w:szCs w:val="20"/>
          <w:vertAlign w:val="superscript"/>
          <w:lang w:eastAsia="zh-CN"/>
        </w:rPr>
        <w:t>-12</w:t>
      </w:r>
      <w:r w:rsidRPr="008C1155">
        <w:rPr>
          <w:rFonts w:ascii="Arial" w:eastAsia="Times New Roman" w:hAnsi="Arial" w:cs="Arial"/>
          <w:smallCaps/>
          <w:sz w:val="20"/>
          <w:szCs w:val="20"/>
          <w:lang w:eastAsia="zh-CN"/>
        </w:rPr>
        <w:t xml:space="preserve"> </w:t>
      </w:r>
      <w:r w:rsidRPr="008C1155">
        <w:rPr>
          <w:rFonts w:ascii="Arial" w:eastAsia="Times New Roman" w:hAnsi="Arial" w:cs="Arial"/>
          <w:sz w:val="20"/>
          <w:szCs w:val="20"/>
          <w:lang w:eastAsia="zh-CN"/>
        </w:rPr>
        <w:t>to</w:t>
      </w:r>
      <w:r w:rsidRPr="008C1155">
        <w:rPr>
          <w:rFonts w:ascii="Arial" w:eastAsia="Times New Roman" w:hAnsi="Arial" w:cs="Arial"/>
          <w:smallCaps/>
          <w:sz w:val="20"/>
          <w:szCs w:val="20"/>
          <w:lang w:eastAsia="zh-CN"/>
        </w:rPr>
        <w:t xml:space="preserve"> 550 x 10</w:t>
      </w:r>
      <w:r w:rsidRPr="008C1155">
        <w:rPr>
          <w:rFonts w:ascii="Arial" w:eastAsia="Times New Roman" w:hAnsi="Arial" w:cs="Arial"/>
          <w:smallCaps/>
          <w:sz w:val="20"/>
          <w:szCs w:val="20"/>
          <w:vertAlign w:val="superscript"/>
          <w:lang w:eastAsia="zh-CN"/>
        </w:rPr>
        <w:t>-12</w:t>
      </w:r>
      <w:r w:rsidRPr="008C1155">
        <w:rPr>
          <w:rFonts w:ascii="Arial" w:eastAsia="Times New Roman" w:hAnsi="Arial" w:cs="Arial"/>
          <w:smallCaps/>
          <w:sz w:val="20"/>
          <w:szCs w:val="20"/>
          <w:lang w:eastAsia="zh-CN"/>
        </w:rPr>
        <w:t xml:space="preserve"> (</w:t>
      </w:r>
      <w:r w:rsidRPr="008C1155">
        <w:rPr>
          <w:rFonts w:ascii="Arial" w:eastAsia="Times New Roman" w:hAnsi="Arial" w:cs="Arial"/>
          <w:sz w:val="20"/>
          <w:szCs w:val="20"/>
          <w:lang w:eastAsia="zh-CN"/>
        </w:rPr>
        <w:t>pmol/mol; ppt</w:t>
      </w:r>
      <w:r w:rsidRPr="008C1155">
        <w:rPr>
          <w:rFonts w:ascii="Arial" w:eastAsia="Times New Roman" w:hAnsi="Arial" w:cs="Arial"/>
          <w:smallCaps/>
          <w:sz w:val="20"/>
          <w:szCs w:val="20"/>
          <w:lang w:eastAsia="zh-CN"/>
        </w:rPr>
        <w:t>)</w:t>
      </w: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z w:val="20"/>
          <w:szCs w:val="20"/>
          <w:lang w:eastAsia="zh-CN"/>
        </w:rPr>
      </w:pPr>
    </w:p>
    <w:tbl>
      <w:tblPr>
        <w:tblW w:w="0" w:type="auto"/>
        <w:tblInd w:w="-145" w:type="dxa"/>
        <w:tblLayout w:type="fixed"/>
        <w:tblCellMar>
          <w:left w:w="139" w:type="dxa"/>
          <w:right w:w="139" w:type="dxa"/>
        </w:tblCellMar>
        <w:tblLook w:val="0000" w:firstRow="0" w:lastRow="0" w:firstColumn="0" w:lastColumn="0" w:noHBand="0" w:noVBand="0"/>
      </w:tblPr>
      <w:tblGrid>
        <w:gridCol w:w="3960"/>
        <w:gridCol w:w="1080"/>
        <w:gridCol w:w="1800"/>
        <w:gridCol w:w="1260"/>
        <w:gridCol w:w="1650"/>
      </w:tblGrid>
      <w:tr w:rsidR="00954521" w:rsidRPr="008C1155" w:rsidTr="007E355B">
        <w:tc>
          <w:tcPr>
            <w:tcW w:w="3960" w:type="dxa"/>
            <w:tcBorders>
              <w:top w:val="double" w:sz="6" w:space="0" w:color="000000"/>
              <w:left w:val="doub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Arial" w:hAnsi="Arial" w:cs="Arial"/>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Measurement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b/>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 xml:space="preserve">No. 1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b/>
                <w:sz w:val="20"/>
                <w:szCs w:val="20"/>
                <w:lang w:eastAsia="zh-CN"/>
              </w:rPr>
              <w:t>vs J-127</w:t>
            </w:r>
          </w:p>
        </w:tc>
        <w:tc>
          <w:tcPr>
            <w:tcW w:w="108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Date</w:t>
            </w:r>
          </w:p>
        </w:tc>
        <w:tc>
          <w:tcPr>
            <w:tcW w:w="180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Result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(pmol/mol)</w:t>
            </w:r>
          </w:p>
        </w:tc>
        <w:tc>
          <w:tcPr>
            <w:tcW w:w="126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roofErr w:type="gramStart"/>
            <w:r w:rsidRPr="008C1155">
              <w:rPr>
                <w:rFonts w:ascii="Arial" w:eastAsia="Times New Roman" w:hAnsi="Arial" w:cs="Arial"/>
                <w:sz w:val="20"/>
                <w:szCs w:val="20"/>
                <w:lang w:eastAsia="zh-CN"/>
              </w:rPr>
              <w:t>stand</w:t>
            </w:r>
            <w:proofErr w:type="gramEnd"/>
            <w:r w:rsidRPr="008C1155">
              <w:rPr>
                <w:rFonts w:ascii="Arial" w:eastAsia="Times New Roman" w:hAnsi="Arial" w:cs="Arial"/>
                <w:sz w:val="20"/>
                <w:szCs w:val="20"/>
                <w:lang w:eastAsia="zh-CN"/>
              </w:rPr>
              <w:t>. deviation</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relative)</w:t>
            </w:r>
          </w:p>
        </w:tc>
        <w:tc>
          <w:tcPr>
            <w:tcW w:w="1650" w:type="dxa"/>
            <w:tcBorders>
              <w:top w:val="double" w:sz="6" w:space="0" w:color="000000"/>
              <w:left w:val="single" w:sz="6" w:space="0" w:color="000000"/>
              <w:bottom w:val="single" w:sz="6" w:space="0" w:color="000000"/>
              <w:right w:val="doub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of sub-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measurements</w:t>
            </w:r>
          </w:p>
        </w:tc>
      </w:tr>
      <w:tr w:rsidR="00954521" w:rsidRPr="008C1155" w:rsidTr="007E355B">
        <w:tc>
          <w:tcPr>
            <w:tcW w:w="3960" w:type="dxa"/>
            <w:tcBorders>
              <w:top w:val="single" w:sz="6" w:space="0" w:color="000000"/>
              <w:left w:val="doub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Dichlorodifluoromethane (CFC-12)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Trichlorofluoromethane (CFC-11)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1,1,2-Trichlorotrifluoroethane (CFC-113)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1,1,1,2-Tetrafluoroethane (HFC-134a)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Difluorochloromethane (HCFC-22)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1,1-Difluoro-1-chloroethane (HCFC-142b)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08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 June 2012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80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530.25</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238.93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74.24</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64.371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221.70</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22.510</w:t>
            </w:r>
          </w:p>
        </w:tc>
        <w:tc>
          <w:tcPr>
            <w:tcW w:w="126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0.08</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0.31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3.4</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0.23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0.20</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0.47</w:t>
            </w:r>
          </w:p>
        </w:tc>
        <w:tc>
          <w:tcPr>
            <w:tcW w:w="1650" w:type="dxa"/>
            <w:tcBorders>
              <w:top w:val="single" w:sz="6" w:space="0" w:color="000000"/>
              <w:left w:val="single" w:sz="6" w:space="0" w:color="000000"/>
              <w:bottom w:val="doub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r>
    </w:tbl>
    <w:p w:rsidR="00954521" w:rsidRPr="008C1155" w:rsidRDefault="00954521" w:rsidP="00954521">
      <w:pPr>
        <w:widowControl w:val="0"/>
        <w:tabs>
          <w:tab w:val="left" w:pos="0"/>
          <w:tab w:val="left" w:pos="2853"/>
        </w:tabs>
        <w:suppressAutoHyphens/>
        <w:spacing w:after="0" w:line="240" w:lineRule="auto"/>
        <w:jc w:val="both"/>
        <w:rPr>
          <w:rFonts w:ascii="Courier" w:eastAsia="Times New Roman" w:hAnsi="Courier" w:cs="Courier"/>
          <w:sz w:val="24"/>
          <w:szCs w:val="20"/>
          <w:lang w:eastAsia="zh-CN"/>
        </w:rPr>
      </w:pP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p>
    <w:tbl>
      <w:tblPr>
        <w:tblW w:w="0" w:type="auto"/>
        <w:tblInd w:w="-145" w:type="dxa"/>
        <w:tblLayout w:type="fixed"/>
        <w:tblCellMar>
          <w:left w:w="139" w:type="dxa"/>
          <w:right w:w="139" w:type="dxa"/>
        </w:tblCellMar>
        <w:tblLook w:val="0000" w:firstRow="0" w:lastRow="0" w:firstColumn="0" w:lastColumn="0" w:noHBand="0" w:noVBand="0"/>
      </w:tblPr>
      <w:tblGrid>
        <w:gridCol w:w="3960"/>
        <w:gridCol w:w="1080"/>
        <w:gridCol w:w="1800"/>
        <w:gridCol w:w="1260"/>
        <w:gridCol w:w="1650"/>
      </w:tblGrid>
      <w:tr w:rsidR="00954521" w:rsidRPr="008C1155" w:rsidTr="007E355B">
        <w:tc>
          <w:tcPr>
            <w:tcW w:w="3960" w:type="dxa"/>
            <w:tcBorders>
              <w:top w:val="double" w:sz="6" w:space="0" w:color="000000"/>
              <w:left w:val="doub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Arial" w:hAnsi="Arial" w:cs="Arial"/>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Measurement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b/>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No. 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b/>
                <w:sz w:val="20"/>
                <w:szCs w:val="20"/>
                <w:lang w:eastAsia="zh-CN"/>
              </w:rPr>
              <w:t>vs EG-003</w:t>
            </w:r>
          </w:p>
        </w:tc>
        <w:tc>
          <w:tcPr>
            <w:tcW w:w="108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Date</w:t>
            </w:r>
          </w:p>
        </w:tc>
        <w:tc>
          <w:tcPr>
            <w:tcW w:w="180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Result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(pmol/mol)</w:t>
            </w:r>
          </w:p>
        </w:tc>
        <w:tc>
          <w:tcPr>
            <w:tcW w:w="126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roofErr w:type="gramStart"/>
            <w:r w:rsidRPr="008C1155">
              <w:rPr>
                <w:rFonts w:ascii="Arial" w:eastAsia="Times New Roman" w:hAnsi="Arial" w:cs="Arial"/>
                <w:sz w:val="20"/>
                <w:szCs w:val="20"/>
                <w:lang w:eastAsia="zh-CN"/>
              </w:rPr>
              <w:t>stand</w:t>
            </w:r>
            <w:proofErr w:type="gramEnd"/>
            <w:r w:rsidRPr="008C1155">
              <w:rPr>
                <w:rFonts w:ascii="Arial" w:eastAsia="Times New Roman" w:hAnsi="Arial" w:cs="Arial"/>
                <w:sz w:val="20"/>
                <w:szCs w:val="20"/>
                <w:lang w:eastAsia="zh-CN"/>
              </w:rPr>
              <w:t>. deviation</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relative)</w:t>
            </w:r>
          </w:p>
        </w:tc>
        <w:tc>
          <w:tcPr>
            <w:tcW w:w="1650" w:type="dxa"/>
            <w:tcBorders>
              <w:top w:val="double" w:sz="6" w:space="0" w:color="000000"/>
              <w:left w:val="single" w:sz="6" w:space="0" w:color="000000"/>
              <w:bottom w:val="single" w:sz="6" w:space="0" w:color="000000"/>
              <w:right w:val="doub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of sub-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measurements</w:t>
            </w:r>
          </w:p>
        </w:tc>
      </w:tr>
      <w:tr w:rsidR="00954521" w:rsidRPr="008C1155" w:rsidTr="007E355B">
        <w:tc>
          <w:tcPr>
            <w:tcW w:w="3960" w:type="dxa"/>
            <w:tcBorders>
              <w:top w:val="single" w:sz="6" w:space="0" w:color="000000"/>
              <w:left w:val="doub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Dichlorodifluoromethane (CFC-12)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Trichlorofluoromethane (CFC-11)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1,1,2-Trichlorotrifluoroethane (CFC-113)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1,1,1,2-Tetrafluoroethane (HFC-134a)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Difluorochloromethane (HCFC-22)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1,1-Difluoro-1-chloroethane (HCFC-142b)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08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23 June 2012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80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530.25</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239.57</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74.57</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64.598</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221.77</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22.427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26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0.19</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0.15</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0.25</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0.56</w:t>
            </w:r>
          </w:p>
        </w:tc>
        <w:tc>
          <w:tcPr>
            <w:tcW w:w="1650" w:type="dxa"/>
            <w:tcBorders>
              <w:top w:val="single" w:sz="6" w:space="0" w:color="000000"/>
              <w:left w:val="single" w:sz="6" w:space="0" w:color="000000"/>
              <w:bottom w:val="doub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Courier" w:eastAsia="Times New Roman" w:hAnsi="Courier" w:cs="Courier"/>
                <w:sz w:val="24"/>
                <w:szCs w:val="20"/>
                <w:lang w:eastAsia="zh-CN"/>
              </w:rPr>
            </w:pPr>
            <w:r w:rsidRPr="008C1155">
              <w:rPr>
                <w:rFonts w:ascii="Arial" w:eastAsia="Times New Roman" w:hAnsi="Arial" w:cs="Arial"/>
                <w:sz w:val="20"/>
                <w:szCs w:val="20"/>
                <w:lang w:eastAsia="zh-CN"/>
              </w:rPr>
              <w:t>6</w:t>
            </w:r>
          </w:p>
        </w:tc>
      </w:tr>
    </w:tbl>
    <w:p w:rsidR="00954521" w:rsidRPr="008C1155" w:rsidRDefault="00954521" w:rsidP="00954521">
      <w:pPr>
        <w:widowControl w:val="0"/>
        <w:tabs>
          <w:tab w:val="left" w:pos="0"/>
          <w:tab w:val="left" w:pos="2853"/>
        </w:tabs>
        <w:suppressAutoHyphens/>
        <w:spacing w:after="0" w:line="240" w:lineRule="auto"/>
        <w:jc w:val="both"/>
        <w:rPr>
          <w:rFonts w:ascii="Courier" w:eastAsia="Times New Roman" w:hAnsi="Courier" w:cs="Courier"/>
          <w:sz w:val="24"/>
          <w:szCs w:val="20"/>
          <w:lang w:eastAsia="zh-CN"/>
        </w:rPr>
      </w:pP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p>
    <w:tbl>
      <w:tblPr>
        <w:tblW w:w="0" w:type="auto"/>
        <w:tblInd w:w="-145" w:type="dxa"/>
        <w:tblLayout w:type="fixed"/>
        <w:tblCellMar>
          <w:left w:w="139" w:type="dxa"/>
          <w:right w:w="139" w:type="dxa"/>
        </w:tblCellMar>
        <w:tblLook w:val="0000" w:firstRow="0" w:lastRow="0" w:firstColumn="0" w:lastColumn="0" w:noHBand="0" w:noVBand="0"/>
      </w:tblPr>
      <w:tblGrid>
        <w:gridCol w:w="3960"/>
        <w:gridCol w:w="1080"/>
        <w:gridCol w:w="1800"/>
        <w:gridCol w:w="1260"/>
        <w:gridCol w:w="1650"/>
      </w:tblGrid>
      <w:tr w:rsidR="00954521" w:rsidRPr="008C1155" w:rsidTr="007E355B">
        <w:tc>
          <w:tcPr>
            <w:tcW w:w="3960" w:type="dxa"/>
            <w:tcBorders>
              <w:top w:val="double" w:sz="6" w:space="0" w:color="000000"/>
              <w:left w:val="doub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Arial" w:hAnsi="Arial" w:cs="Arial"/>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Measurement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b/>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No. 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b/>
                <w:sz w:val="20"/>
                <w:szCs w:val="20"/>
                <w:lang w:eastAsia="zh-CN"/>
              </w:rPr>
              <w:t>vs E-071B</w:t>
            </w:r>
          </w:p>
        </w:tc>
        <w:tc>
          <w:tcPr>
            <w:tcW w:w="108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Date</w:t>
            </w:r>
          </w:p>
        </w:tc>
        <w:tc>
          <w:tcPr>
            <w:tcW w:w="180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Result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(pmol/mol)</w:t>
            </w:r>
          </w:p>
        </w:tc>
        <w:tc>
          <w:tcPr>
            <w:tcW w:w="126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roofErr w:type="gramStart"/>
            <w:r w:rsidRPr="008C1155">
              <w:rPr>
                <w:rFonts w:ascii="Arial" w:eastAsia="Times New Roman" w:hAnsi="Arial" w:cs="Arial"/>
                <w:sz w:val="20"/>
                <w:szCs w:val="20"/>
                <w:lang w:eastAsia="zh-CN"/>
              </w:rPr>
              <w:t>stand</w:t>
            </w:r>
            <w:proofErr w:type="gramEnd"/>
            <w:r w:rsidRPr="008C1155">
              <w:rPr>
                <w:rFonts w:ascii="Arial" w:eastAsia="Times New Roman" w:hAnsi="Arial" w:cs="Arial"/>
                <w:sz w:val="20"/>
                <w:szCs w:val="20"/>
                <w:lang w:eastAsia="zh-CN"/>
              </w:rPr>
              <w:t>. deviation</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relative)</w:t>
            </w:r>
          </w:p>
        </w:tc>
        <w:tc>
          <w:tcPr>
            <w:tcW w:w="1650" w:type="dxa"/>
            <w:tcBorders>
              <w:top w:val="double" w:sz="6" w:space="0" w:color="000000"/>
              <w:left w:val="single" w:sz="6" w:space="0" w:color="000000"/>
              <w:bottom w:val="single" w:sz="6" w:space="0" w:color="000000"/>
              <w:right w:val="doub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of sub-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measurements</w:t>
            </w:r>
          </w:p>
        </w:tc>
      </w:tr>
      <w:tr w:rsidR="00954521" w:rsidRPr="008C1155" w:rsidTr="007E355B">
        <w:tc>
          <w:tcPr>
            <w:tcW w:w="3960" w:type="dxa"/>
            <w:tcBorders>
              <w:top w:val="single" w:sz="6" w:space="0" w:color="000000"/>
              <w:left w:val="doub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Dichlorodifluoromethane (CFC-12)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Trichlorofluoromethane (CFC-11)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1,1,2-Trichlorotrifluoroethane (CFC-113)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1,1,1,2-Tetrafluoroethane (HFC-134a)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Difluorochloromethane (HCFC-22)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1,1-Difluoro-1-chloroethane (HCFC-142b)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08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23 June 2012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80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530.81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239.53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75.72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64.719</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222.45</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22.526</w:t>
            </w:r>
          </w:p>
        </w:tc>
        <w:tc>
          <w:tcPr>
            <w:tcW w:w="126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0.08</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0.20</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2.5</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0.29</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0.16</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0.13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650" w:type="dxa"/>
            <w:tcBorders>
              <w:top w:val="single" w:sz="6" w:space="0" w:color="000000"/>
              <w:left w:val="single" w:sz="6" w:space="0" w:color="000000"/>
              <w:bottom w:val="doub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r>
    </w:tbl>
    <w:p w:rsidR="00954521" w:rsidRPr="008C1155" w:rsidRDefault="00954521" w:rsidP="00954521">
      <w:pPr>
        <w:widowControl w:val="0"/>
        <w:tabs>
          <w:tab w:val="left" w:pos="0"/>
          <w:tab w:val="left" w:pos="2853"/>
        </w:tabs>
        <w:suppressAutoHyphens/>
        <w:spacing w:after="0" w:line="240" w:lineRule="auto"/>
        <w:jc w:val="both"/>
        <w:rPr>
          <w:rFonts w:ascii="Courier" w:eastAsia="Times New Roman" w:hAnsi="Courier" w:cs="Courier"/>
          <w:sz w:val="24"/>
          <w:szCs w:val="20"/>
          <w:lang w:eastAsia="zh-CN"/>
        </w:rPr>
      </w:pPr>
    </w:p>
    <w:p w:rsidR="00954521" w:rsidRPr="008C1155" w:rsidRDefault="00954521" w:rsidP="00954521">
      <w:pPr>
        <w:widowControl w:val="0"/>
        <w:tabs>
          <w:tab w:val="left" w:pos="0"/>
          <w:tab w:val="left" w:pos="2853"/>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Note: Please copy this table as many times as needed for reporting additional measurements.</w:t>
      </w: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Summary Results: Our summary results are these from the measurement of CCQM- vs J-127. We have most confidence in these numbers. </w:t>
      </w: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p>
    <w:tbl>
      <w:tblPr>
        <w:tblW w:w="0" w:type="auto"/>
        <w:tblInd w:w="-145" w:type="dxa"/>
        <w:tblLayout w:type="fixed"/>
        <w:tblCellMar>
          <w:left w:w="139" w:type="dxa"/>
          <w:right w:w="139" w:type="dxa"/>
        </w:tblCellMar>
        <w:tblLook w:val="0000" w:firstRow="0" w:lastRow="0" w:firstColumn="0" w:lastColumn="0" w:noHBand="0" w:noVBand="0"/>
      </w:tblPr>
      <w:tblGrid>
        <w:gridCol w:w="3960"/>
        <w:gridCol w:w="2160"/>
        <w:gridCol w:w="1440"/>
        <w:gridCol w:w="2100"/>
      </w:tblGrid>
      <w:tr w:rsidR="00954521" w:rsidRPr="008C1155" w:rsidTr="007E355B">
        <w:tc>
          <w:tcPr>
            <w:tcW w:w="3960" w:type="dxa"/>
            <w:tcBorders>
              <w:top w:val="double" w:sz="6" w:space="0" w:color="000000"/>
              <w:left w:val="doub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Gas Mixture Component</w:t>
            </w:r>
          </w:p>
        </w:tc>
        <w:tc>
          <w:tcPr>
            <w:tcW w:w="216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Result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(assigned value)</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pmol/mol (ppt)</w:t>
            </w:r>
          </w:p>
        </w:tc>
        <w:tc>
          <w:tcPr>
            <w:tcW w:w="1440" w:type="dxa"/>
            <w:tcBorders>
              <w:top w:val="double" w:sz="6" w:space="0" w:color="000000"/>
              <w:left w:val="single" w:sz="6" w:space="0" w:color="000000"/>
              <w:bottom w:val="sing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Coverage</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factor</w:t>
            </w:r>
          </w:p>
        </w:tc>
        <w:tc>
          <w:tcPr>
            <w:tcW w:w="2100" w:type="dxa"/>
            <w:tcBorders>
              <w:top w:val="double" w:sz="6" w:space="0" w:color="000000"/>
              <w:left w:val="single" w:sz="6" w:space="0" w:color="000000"/>
              <w:bottom w:val="single" w:sz="6" w:space="0" w:color="000000"/>
              <w:right w:val="doub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Assigned expanded</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Uncertainty</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pmol/mol (ppt)</w:t>
            </w:r>
          </w:p>
        </w:tc>
      </w:tr>
      <w:tr w:rsidR="00954521" w:rsidRPr="008C1155" w:rsidTr="007E355B">
        <w:tc>
          <w:tcPr>
            <w:tcW w:w="3960" w:type="dxa"/>
            <w:tcBorders>
              <w:top w:val="single" w:sz="6" w:space="0" w:color="000000"/>
              <w:left w:val="doub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Dichlorodifluoromethane (CFC-12)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Trichlorofluoromethane (CFC-11)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1,1,2-Trichlorotrifluoroethane (CFC-113)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1,1,1,2-Tetrafluoroethane (HFC-134a)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Difluorochloromethane (HCFC-22)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1,1-Difluoro-1-chloroethane (HCFC-142b)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216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530.25</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238.93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74.24</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64.371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221.70</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22.510</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440"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2100" w:type="dxa"/>
            <w:tcBorders>
              <w:top w:val="single" w:sz="6" w:space="0" w:color="000000"/>
              <w:left w:val="single" w:sz="6" w:space="0" w:color="000000"/>
              <w:bottom w:val="doub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10.7</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5.2</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7.3</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2.0</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4.6</w:t>
            </w:r>
          </w:p>
          <w:p w:rsidR="00954521" w:rsidRPr="008C1155" w:rsidRDefault="00954521" w:rsidP="007E355B">
            <w:pPr>
              <w:widowControl w:val="0"/>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0.95</w:t>
            </w: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r>
    </w:tbl>
    <w:p w:rsidR="00954521" w:rsidRPr="008C1155" w:rsidRDefault="00954521" w:rsidP="00954521">
      <w:pPr>
        <w:widowControl w:val="0"/>
        <w:tabs>
          <w:tab w:val="left" w:pos="0"/>
          <w:tab w:val="left" w:pos="2853"/>
        </w:tabs>
        <w:suppressAutoHyphens/>
        <w:spacing w:after="0" w:line="240" w:lineRule="auto"/>
        <w:jc w:val="both"/>
        <w:rPr>
          <w:rFonts w:ascii="Courier" w:eastAsia="Times New Roman" w:hAnsi="Courier" w:cs="Courier"/>
          <w:sz w:val="24"/>
          <w:szCs w:val="20"/>
          <w:lang w:eastAsia="zh-CN"/>
        </w:rPr>
      </w:pP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u w:val="single"/>
          <w:lang w:eastAsia="zh-CN"/>
        </w:rPr>
        <w:t>Reference Method:</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Describe your instrument(s) (principles, make, type, configuration, data collection etc.):</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roofErr w:type="gramStart"/>
      <w:r w:rsidRPr="008C1155">
        <w:rPr>
          <w:rFonts w:ascii="Arial" w:eastAsia="Times New Roman" w:hAnsi="Arial" w:cs="Arial"/>
          <w:sz w:val="20"/>
          <w:szCs w:val="20"/>
          <w:lang w:eastAsia="zh-CN"/>
        </w:rPr>
        <w:t>Medusa-GCMS technology.</w:t>
      </w:r>
      <w:proofErr w:type="gramEnd"/>
      <w:r w:rsidRPr="008C1155">
        <w:rPr>
          <w:rFonts w:ascii="Arial" w:eastAsia="Times New Roman" w:hAnsi="Arial" w:cs="Arial"/>
          <w:sz w:val="20"/>
          <w:szCs w:val="20"/>
          <w:lang w:eastAsia="zh-CN"/>
        </w:rPr>
        <w:t xml:space="preserve"> Trap 2 L of sample, </w:t>
      </w:r>
      <w:proofErr w:type="spellStart"/>
      <w:r w:rsidRPr="008C1155">
        <w:rPr>
          <w:rFonts w:ascii="Arial" w:eastAsia="Times New Roman" w:hAnsi="Arial" w:cs="Arial"/>
          <w:sz w:val="20"/>
          <w:szCs w:val="20"/>
          <w:lang w:eastAsia="zh-CN"/>
        </w:rPr>
        <w:t>cryofocus</w:t>
      </w:r>
      <w:proofErr w:type="spellEnd"/>
      <w:r w:rsidRPr="008C1155">
        <w:rPr>
          <w:rFonts w:ascii="Arial" w:eastAsia="Times New Roman" w:hAnsi="Arial" w:cs="Arial"/>
          <w:sz w:val="20"/>
          <w:szCs w:val="20"/>
          <w:lang w:eastAsia="zh-CN"/>
        </w:rPr>
        <w:t>, separate on CP-</w:t>
      </w:r>
      <w:proofErr w:type="spellStart"/>
      <w:r w:rsidRPr="008C1155">
        <w:rPr>
          <w:rFonts w:ascii="Arial" w:eastAsia="Times New Roman" w:hAnsi="Arial" w:cs="Arial"/>
          <w:sz w:val="20"/>
          <w:szCs w:val="20"/>
          <w:lang w:eastAsia="zh-CN"/>
        </w:rPr>
        <w:t>PoraBOND</w:t>
      </w:r>
      <w:proofErr w:type="spellEnd"/>
      <w:r w:rsidRPr="008C1155">
        <w:rPr>
          <w:rFonts w:ascii="Arial" w:eastAsia="Times New Roman" w:hAnsi="Arial" w:cs="Arial"/>
          <w:sz w:val="20"/>
          <w:szCs w:val="20"/>
          <w:lang w:eastAsia="zh-CN"/>
        </w:rPr>
        <w:t xml:space="preserve"> Q, 0.32 mm ID x 25 m, 5 um, Varian </w:t>
      </w:r>
      <w:proofErr w:type="spellStart"/>
      <w:r w:rsidRPr="008C1155">
        <w:rPr>
          <w:rFonts w:ascii="Arial" w:eastAsia="Times New Roman" w:hAnsi="Arial" w:cs="Arial"/>
          <w:sz w:val="20"/>
          <w:szCs w:val="20"/>
          <w:lang w:eastAsia="zh-CN"/>
        </w:rPr>
        <w:t>Crompack</w:t>
      </w:r>
      <w:proofErr w:type="spellEnd"/>
      <w:r w:rsidRPr="008C1155">
        <w:rPr>
          <w:rFonts w:ascii="Arial" w:eastAsia="Times New Roman" w:hAnsi="Arial" w:cs="Arial"/>
          <w:sz w:val="20"/>
          <w:szCs w:val="20"/>
          <w:lang w:eastAsia="zh-CN"/>
        </w:rPr>
        <w:t xml:space="preserve">). See e.g. Miller, B. R. et al., Anal. </w:t>
      </w:r>
      <w:proofErr w:type="spellStart"/>
      <w:r w:rsidRPr="008C1155">
        <w:rPr>
          <w:rFonts w:ascii="Arial" w:eastAsia="Times New Roman" w:hAnsi="Arial" w:cs="Arial"/>
          <w:sz w:val="20"/>
          <w:szCs w:val="20"/>
          <w:lang w:eastAsia="zh-CN"/>
        </w:rPr>
        <w:t>Chem</w:t>
      </w:r>
      <w:proofErr w:type="spellEnd"/>
      <w:r w:rsidRPr="008C1155">
        <w:rPr>
          <w:rFonts w:ascii="Arial" w:eastAsia="Times New Roman" w:hAnsi="Arial" w:cs="Arial"/>
          <w:sz w:val="20"/>
          <w:szCs w:val="20"/>
          <w:lang w:eastAsia="zh-CN"/>
        </w:rPr>
        <w:t xml:space="preserve"> 80(5), 1536-1545, doi</w:t>
      </w:r>
      <w:proofErr w:type="gramStart"/>
      <w:r w:rsidRPr="008C1155">
        <w:rPr>
          <w:rFonts w:ascii="Arial" w:eastAsia="Times New Roman" w:hAnsi="Arial" w:cs="Arial"/>
          <w:sz w:val="20"/>
          <w:szCs w:val="20"/>
          <w:lang w:eastAsia="zh-CN"/>
        </w:rPr>
        <w:t>:10.1021</w:t>
      </w:r>
      <w:proofErr w:type="gramEnd"/>
      <w:r w:rsidRPr="008C1155">
        <w:rPr>
          <w:rFonts w:ascii="Arial" w:eastAsia="Times New Roman" w:hAnsi="Arial" w:cs="Arial"/>
          <w:sz w:val="20"/>
          <w:szCs w:val="20"/>
          <w:lang w:eastAsia="zh-CN"/>
        </w:rPr>
        <w:t xml:space="preserve">/ac702084k, 2008, or Vollmer, M. K. et al., J. </w:t>
      </w:r>
      <w:proofErr w:type="spellStart"/>
      <w:r w:rsidRPr="008C1155">
        <w:rPr>
          <w:rFonts w:ascii="Arial" w:eastAsia="Times New Roman" w:hAnsi="Arial" w:cs="Arial"/>
          <w:sz w:val="20"/>
          <w:szCs w:val="20"/>
          <w:lang w:eastAsia="zh-CN"/>
        </w:rPr>
        <w:t>Geophys</w:t>
      </w:r>
      <w:proofErr w:type="spellEnd"/>
      <w:r w:rsidRPr="008C1155">
        <w:rPr>
          <w:rFonts w:ascii="Arial" w:eastAsia="Times New Roman" w:hAnsi="Arial" w:cs="Arial"/>
          <w:sz w:val="20"/>
          <w:szCs w:val="20"/>
          <w:lang w:eastAsia="zh-CN"/>
        </w:rPr>
        <w:t xml:space="preserve">. </w:t>
      </w:r>
      <w:proofErr w:type="gramStart"/>
      <w:r w:rsidRPr="008C1155">
        <w:rPr>
          <w:rFonts w:ascii="Arial" w:eastAsia="Times New Roman" w:hAnsi="Arial" w:cs="Arial"/>
          <w:sz w:val="20"/>
          <w:szCs w:val="20"/>
          <w:lang w:eastAsia="zh-CN"/>
        </w:rPr>
        <w:t>Res., 116, D08304, doi:10.1029/2010/JD015309, 2011.</w:t>
      </w:r>
      <w:proofErr w:type="gramEnd"/>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The instrument used for this analysis is called </w:t>
      </w:r>
      <w:proofErr w:type="spellStart"/>
      <w:r w:rsidRPr="008C1155">
        <w:rPr>
          <w:rFonts w:ascii="Arial" w:eastAsia="Times New Roman" w:hAnsi="Arial" w:cs="Arial"/>
          <w:sz w:val="20"/>
          <w:szCs w:val="20"/>
          <w:lang w:eastAsia="zh-CN"/>
        </w:rPr>
        <w:t>empa</w:t>
      </w:r>
      <w:proofErr w:type="spellEnd"/>
      <w:r w:rsidRPr="008C1155">
        <w:rPr>
          <w:rFonts w:ascii="Arial" w:eastAsia="Times New Roman" w:hAnsi="Arial" w:cs="Arial"/>
          <w:sz w:val="20"/>
          <w:szCs w:val="20"/>
          <w:lang w:eastAsia="zh-CN"/>
        </w:rPr>
        <w:t xml:space="preserve">-medusa or Medusa-20.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u w:val="single"/>
          <w:lang w:eastAsia="zh-CN"/>
        </w:rPr>
        <w:t>Calibration Standards:</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Describe your Calibration Standards for the measurements (preparation method, purity analyses,</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roofErr w:type="gramStart"/>
      <w:r w:rsidRPr="008C1155">
        <w:rPr>
          <w:rFonts w:ascii="Arial" w:eastAsia="Times New Roman" w:hAnsi="Arial" w:cs="Arial"/>
          <w:sz w:val="20"/>
          <w:szCs w:val="20"/>
          <w:lang w:eastAsia="zh-CN"/>
        </w:rPr>
        <w:t>estimated</w:t>
      </w:r>
      <w:proofErr w:type="gramEnd"/>
      <w:r w:rsidRPr="008C1155">
        <w:rPr>
          <w:rFonts w:ascii="Arial" w:eastAsia="Times New Roman" w:hAnsi="Arial" w:cs="Arial"/>
          <w:sz w:val="20"/>
          <w:szCs w:val="20"/>
          <w:lang w:eastAsia="zh-CN"/>
        </w:rPr>
        <w:t xml:space="preserve"> uncertainty etc.):</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We used 3 different calibrations standards, with filling names J-127, EG-003, and E-071B. All three standards are whole air fillings into 35 L Essex internally </w:t>
      </w:r>
      <w:proofErr w:type="spellStart"/>
      <w:r w:rsidRPr="008C1155">
        <w:rPr>
          <w:rFonts w:ascii="Arial" w:eastAsia="Times New Roman" w:hAnsi="Arial" w:cs="Arial"/>
          <w:sz w:val="20"/>
          <w:szCs w:val="20"/>
          <w:lang w:eastAsia="zh-CN"/>
        </w:rPr>
        <w:t>electropolished</w:t>
      </w:r>
      <w:proofErr w:type="spellEnd"/>
      <w:r w:rsidRPr="008C1155">
        <w:rPr>
          <w:rFonts w:ascii="Arial" w:eastAsia="Times New Roman" w:hAnsi="Arial" w:cs="Arial"/>
          <w:sz w:val="20"/>
          <w:szCs w:val="20"/>
          <w:lang w:eastAsia="zh-CN"/>
        </w:rPr>
        <w:t xml:space="preserve"> ss tanks. Filling J-127 is a whole air filling from Trinidad Head, California (~2009) using an oil-free diving compressor, EG-003 is whole air filling from </w:t>
      </w:r>
      <w:proofErr w:type="spellStart"/>
      <w:r w:rsidRPr="008C1155">
        <w:rPr>
          <w:rFonts w:ascii="Arial" w:eastAsia="Times New Roman" w:hAnsi="Arial" w:cs="Arial"/>
          <w:sz w:val="20"/>
          <w:szCs w:val="20"/>
          <w:lang w:eastAsia="zh-CN"/>
        </w:rPr>
        <w:t>Jungfraujoch</w:t>
      </w:r>
      <w:proofErr w:type="spellEnd"/>
      <w:r w:rsidRPr="008C1155">
        <w:rPr>
          <w:rFonts w:ascii="Arial" w:eastAsia="Times New Roman" w:hAnsi="Arial" w:cs="Arial"/>
          <w:sz w:val="20"/>
          <w:szCs w:val="20"/>
          <w:lang w:eastAsia="zh-CN"/>
        </w:rPr>
        <w:t xml:space="preserve"> (~2005) using cryogenic filling techniques, and E-071B is a whole air filling from the Swiss </w:t>
      </w:r>
      <w:proofErr w:type="spellStart"/>
      <w:r w:rsidRPr="008C1155">
        <w:rPr>
          <w:rFonts w:ascii="Arial" w:eastAsia="Times New Roman" w:hAnsi="Arial" w:cs="Arial"/>
          <w:sz w:val="20"/>
          <w:szCs w:val="20"/>
          <w:lang w:eastAsia="zh-CN"/>
        </w:rPr>
        <w:t>Rigi</w:t>
      </w:r>
      <w:proofErr w:type="spellEnd"/>
      <w:r w:rsidRPr="008C1155">
        <w:rPr>
          <w:rFonts w:ascii="Arial" w:eastAsia="Times New Roman" w:hAnsi="Arial" w:cs="Arial"/>
          <w:sz w:val="20"/>
          <w:szCs w:val="20"/>
          <w:lang w:eastAsia="zh-CN"/>
        </w:rPr>
        <w:t xml:space="preserve"> NABEL station using an oil-free diving compressor. All three standards are linked into the SIO/AGAGE R1 calibration system, whereas J-127 is most directly linked into this system, EG-003 through transfer standards (including J-127 and other canisters) and E-071B is linked into R1 via J-127. All results are reported on SIO scales as dry air mole fractions. </w:t>
      </w: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left" w:pos="1790"/>
          <w:tab w:val="left" w:pos="2301"/>
          <w:tab w:val="left" w:pos="3151"/>
          <w:tab w:val="left" w:pos="3688"/>
          <w:tab w:val="left" w:pos="4341"/>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u w:val="single"/>
          <w:lang w:eastAsia="zh-CN"/>
        </w:rPr>
        <w:t>Instrument Calibration:</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Describe your Calibration procedure (mathematical model/calibration curve, number and concentrations of standards, measurement sequence, temperature/pressure correction etc.):</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The tank filling CCQM-83K was measured </w:t>
      </w:r>
      <w:proofErr w:type="gramStart"/>
      <w:r w:rsidRPr="008C1155">
        <w:rPr>
          <w:rFonts w:ascii="Arial" w:eastAsia="Times New Roman" w:hAnsi="Arial" w:cs="Arial"/>
          <w:sz w:val="20"/>
          <w:szCs w:val="20"/>
          <w:lang w:eastAsia="zh-CN"/>
        </w:rPr>
        <w:t>in an</w:t>
      </w:r>
      <w:proofErr w:type="gramEnd"/>
      <w:r w:rsidRPr="008C1155">
        <w:rPr>
          <w:rFonts w:ascii="Arial" w:eastAsia="Times New Roman" w:hAnsi="Arial" w:cs="Arial"/>
          <w:sz w:val="20"/>
          <w:szCs w:val="20"/>
          <w:lang w:eastAsia="zh-CN"/>
        </w:rPr>
        <w:t xml:space="preserve"> alternating mode vs the above-described standards. Each measurement takes 1 hr. Concentrations of the standards were close to those of the CCQM-83K. The measurement system is considered linear in response for the compounds reported here and the mole fractions reported here. Measurements for the compounds reported here are based on chromatography/mass spectrometry peak areas (rather than peak heights). The peak sizes of CCQM-83K are references against those of the bracketing standard results. Corrections for the trapped volume are applied, which sometimes slightly deviates from the nominal 2L.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u w:val="single"/>
          <w:lang w:eastAsia="zh-CN"/>
        </w:rPr>
        <w:t>Sample Handling:</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lastRenderedPageBreak/>
        <w:t>How were the cylinders treated after arrival (stabilized) and how were samples transferred to the instrument? (</w:t>
      </w:r>
      <w:proofErr w:type="gramStart"/>
      <w:r w:rsidRPr="008C1155">
        <w:rPr>
          <w:rFonts w:ascii="Arial" w:eastAsia="Times New Roman" w:hAnsi="Arial" w:cs="Arial"/>
          <w:sz w:val="20"/>
          <w:szCs w:val="20"/>
          <w:lang w:eastAsia="zh-CN"/>
        </w:rPr>
        <w:t>automatic</w:t>
      </w:r>
      <w:proofErr w:type="gramEnd"/>
      <w:r w:rsidRPr="008C1155">
        <w:rPr>
          <w:rFonts w:ascii="Arial" w:eastAsia="Times New Roman" w:hAnsi="Arial" w:cs="Arial"/>
          <w:sz w:val="20"/>
          <w:szCs w:val="20"/>
          <w:lang w:eastAsia="zh-CN"/>
        </w:rPr>
        <w:t xml:space="preserve">, high pressure, mass-flow controller, dilution </w:t>
      </w:r>
      <w:proofErr w:type="spellStart"/>
      <w:r w:rsidRPr="008C1155">
        <w:rPr>
          <w:rFonts w:ascii="Arial" w:eastAsia="Times New Roman" w:hAnsi="Arial" w:cs="Arial"/>
          <w:sz w:val="20"/>
          <w:szCs w:val="20"/>
          <w:lang w:eastAsia="zh-CN"/>
        </w:rPr>
        <w:t>etc</w:t>
      </w:r>
      <w:proofErr w:type="spellEnd"/>
      <w:r w:rsidRPr="008C1155">
        <w:rPr>
          <w:rFonts w:ascii="Arial" w:eastAsia="Times New Roman" w:hAnsi="Arial" w:cs="Arial"/>
          <w:sz w:val="20"/>
          <w:szCs w:val="20"/>
          <w:lang w:eastAsia="zh-CN"/>
        </w:rPr>
        <w:t>).:</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The cylinder was moved to the laboratory, where the instrument is located. It was left there standing for a few days. Then a pressure regulator was mounted (</w:t>
      </w:r>
      <w:proofErr w:type="spellStart"/>
      <w:r w:rsidRPr="008C1155">
        <w:rPr>
          <w:rFonts w:ascii="Arial" w:eastAsia="Times New Roman" w:hAnsi="Arial" w:cs="Arial"/>
          <w:sz w:val="20"/>
          <w:szCs w:val="20"/>
          <w:lang w:eastAsia="zh-CN"/>
        </w:rPr>
        <w:t>Veriflo</w:t>
      </w:r>
      <w:proofErr w:type="spellEnd"/>
      <w:r w:rsidRPr="008C1155">
        <w:rPr>
          <w:rFonts w:ascii="Arial" w:eastAsia="Times New Roman" w:hAnsi="Arial" w:cs="Arial"/>
          <w:sz w:val="20"/>
          <w:szCs w:val="20"/>
          <w:lang w:eastAsia="zh-CN"/>
        </w:rPr>
        <w:t xml:space="preserve"> 1-stage, 959 TDR), and thoroughly flushed. The regulator was left pressurized for a couple of days. Then it was flushed again, and connected to the instrument inlet via a 1/16” OD ss tube. Then analysis was started. The three sets of measurements were made one after the other without interruption, and took a total of about 2 days.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u w:val="single"/>
          <w:lang w:eastAsia="zh-CN"/>
        </w:rPr>
        <w:t>Uncertainty:</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There are potential sources that influence the uncertainty of the final measurement result. Depending on the equipment, the applied analytical method and the target uncertainty of the final result, they have to be taken into account or can be neglected.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We distinguish between three types of uncertainties. First the uncertainty associated with the preparation of the primary scale (at SIO). Secondly, the uncertainty associated with the propagation of the primary reference material to the standard used for the quantification of the unknown filling. And third, the uncertainty of the measurement, which consist of the random uncertainty (reported precision above) and some systematic uncertainty (such as mass-flow controllers, pressure gauges, potential nonlinearities, mass-spectrometric interferences </w:t>
      </w:r>
      <w:proofErr w:type="spellStart"/>
      <w:r w:rsidRPr="008C1155">
        <w:rPr>
          <w:rFonts w:ascii="Arial" w:eastAsia="Times New Roman" w:hAnsi="Arial" w:cs="Arial"/>
          <w:sz w:val="20"/>
          <w:szCs w:val="20"/>
          <w:lang w:eastAsia="zh-CN"/>
        </w:rPr>
        <w:t>etc</w:t>
      </w:r>
      <w:proofErr w:type="spellEnd"/>
      <w:r w:rsidRPr="008C1155">
        <w:rPr>
          <w:rFonts w:ascii="Arial" w:eastAsia="Times New Roman" w:hAnsi="Arial" w:cs="Arial"/>
          <w:sz w:val="20"/>
          <w:szCs w:val="20"/>
          <w:lang w:eastAsia="zh-CN"/>
        </w:rPr>
        <w:t xml:space="preserve">). The three uncertainties are aggregated assuming independency. The separation into the three different types of uncertainties will also later allow for comparison with the results provided by SIO --- because we report on the same calibration scale as SIO, some of the uncertainties have to be omitted in such a comparison, and, essentially the SIO-Empa direct result comparison will reduce to the second and third type mentioned here.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numPr>
          <w:ilvl w:val="0"/>
          <w:numId w:val="14"/>
        </w:numPr>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Uncertainty of scale: To calculate this part, we combined two types of uncertainties that were reported by SIO, i.e. their 'Primary standard preparation' and their 'Estimated analytical interference uncertainty'. We combined these two by assuming them </w:t>
      </w:r>
      <w:proofErr w:type="spellStart"/>
      <w:r w:rsidRPr="008C1155">
        <w:rPr>
          <w:rFonts w:ascii="Arial" w:eastAsia="Times New Roman" w:hAnsi="Arial" w:cs="Arial"/>
          <w:sz w:val="20"/>
          <w:szCs w:val="20"/>
          <w:lang w:eastAsia="zh-CN"/>
        </w:rPr>
        <w:t>independen</w:t>
      </w:r>
      <w:proofErr w:type="spellEnd"/>
      <w:r w:rsidRPr="008C1155">
        <w:rPr>
          <w:rFonts w:ascii="Arial" w:eastAsia="Times New Roman" w:hAnsi="Arial" w:cs="Arial"/>
          <w:sz w:val="20"/>
          <w:szCs w:val="20"/>
          <w:lang w:eastAsia="zh-CN"/>
        </w:rPr>
        <w:t xml:space="preserve">, i.e. we took the square root of the sums of the squares. For several compounds, this is the most significant uncertainty, e.g. HCFC-142b.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numPr>
          <w:ilvl w:val="0"/>
          <w:numId w:val="14"/>
        </w:numPr>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Propagation uncertainty: The propagation uncertainty is the uncertainty related to the measurement of transfer standards at SIO and transfer standards at Empa. This uncertainty is the higher the more indirect a working standard is linked into the SIO R1 calibration system. In our case, this uncertainty is lowest for J-127, followed by EG-003, and E-071B. For simplicity, we have only considered the measurement set vs J-127 in our final reported results. Hence we apply that transfer uncertainty. This transfer uncertainty is approximated by the uncertainty of tank measurements because compound concentrations are similar, and measurement procedures are similar too. However the propagation uncertainty may be considered somewhat lower, because the measurements of J-127 vs other relevant </w:t>
      </w:r>
      <w:proofErr w:type="gramStart"/>
      <w:r w:rsidRPr="008C1155">
        <w:rPr>
          <w:rFonts w:ascii="Arial" w:eastAsia="Times New Roman" w:hAnsi="Arial" w:cs="Arial"/>
          <w:sz w:val="20"/>
          <w:szCs w:val="20"/>
          <w:lang w:eastAsia="zh-CN"/>
        </w:rPr>
        <w:t>tanks at SIO was</w:t>
      </w:r>
      <w:proofErr w:type="gramEnd"/>
      <w:r w:rsidRPr="008C1155">
        <w:rPr>
          <w:rFonts w:ascii="Arial" w:eastAsia="Times New Roman" w:hAnsi="Arial" w:cs="Arial"/>
          <w:sz w:val="20"/>
          <w:szCs w:val="20"/>
          <w:lang w:eastAsia="zh-CN"/>
        </w:rPr>
        <w:t xml:space="preserve"> done with more replicate measurement than our CCQM-. Nevertheless for the sake of simplicity we assume it to be equal the measurement uncertainty. We use 2 sigma</w:t>
      </w:r>
    </w:p>
    <w:p w:rsidR="00954521" w:rsidRPr="008C1155" w:rsidRDefault="00954521" w:rsidP="00954521">
      <w:pPr>
        <w:widowControl w:val="0"/>
        <w:suppressAutoHyphens/>
        <w:spacing w:after="0" w:line="240" w:lineRule="auto"/>
        <w:ind w:left="720"/>
        <w:rPr>
          <w:rFonts w:ascii="Arial" w:eastAsia="Times New Roman" w:hAnsi="Arial" w:cs="Arial"/>
          <w:sz w:val="20"/>
          <w:szCs w:val="20"/>
          <w:lang w:eastAsia="zh-CN"/>
        </w:rPr>
      </w:pPr>
    </w:p>
    <w:p w:rsidR="00954521" w:rsidRPr="008C1155" w:rsidRDefault="00954521" w:rsidP="00954521">
      <w:pPr>
        <w:widowControl w:val="0"/>
        <w:numPr>
          <w:ilvl w:val="0"/>
          <w:numId w:val="14"/>
        </w:numPr>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Measurement uncertainty: Is the uncertainty given in the results tables above. While in the</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roofErr w:type="gramStart"/>
      <w:r w:rsidRPr="008C1155">
        <w:rPr>
          <w:rFonts w:ascii="Arial" w:eastAsia="Times New Roman" w:hAnsi="Arial" w:cs="Arial"/>
          <w:sz w:val="20"/>
          <w:szCs w:val="20"/>
          <w:lang w:eastAsia="zh-CN"/>
        </w:rPr>
        <w:t>result</w:t>
      </w:r>
      <w:proofErr w:type="gramEnd"/>
      <w:r w:rsidRPr="008C1155">
        <w:rPr>
          <w:rFonts w:ascii="Arial" w:eastAsia="Times New Roman" w:hAnsi="Arial" w:cs="Arial"/>
          <w:sz w:val="20"/>
          <w:szCs w:val="20"/>
          <w:lang w:eastAsia="zh-CN"/>
        </w:rPr>
        <w:t xml:space="preserve"> tables above, they are in 1-sigma, we here use 2 sigma. </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sz w:val="20"/>
          <w:szCs w:val="20"/>
          <w:lang w:eastAsia="zh-CN"/>
        </w:rPr>
      </w:pP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b/>
          <w:sz w:val="20"/>
          <w:szCs w:val="20"/>
          <w:lang w:eastAsia="zh-CN"/>
        </w:rPr>
      </w:pPr>
      <w:r w:rsidRPr="008C1155">
        <w:rPr>
          <w:rFonts w:ascii="Arial" w:eastAsia="Times New Roman" w:hAnsi="Arial" w:cs="Arial"/>
          <w:sz w:val="20"/>
          <w:szCs w:val="20"/>
          <w:lang w:eastAsia="zh-CN"/>
        </w:rPr>
        <w:t>Overall expanded uncertainty: We combine the three above uncertainties by considering them as independent uncertainties (square root of sums of squares), and then multiply that number by two.</w:t>
      </w:r>
    </w:p>
    <w:p w:rsidR="00954521" w:rsidRPr="008C1155" w:rsidRDefault="00954521" w:rsidP="00954521">
      <w:pPr>
        <w:widowControl w:val="0"/>
        <w:tabs>
          <w:tab w:val="left" w:pos="283"/>
          <w:tab w:val="left" w:pos="1190"/>
          <w:tab w:val="right" w:pos="3410"/>
          <w:tab w:val="left" w:pos="3688"/>
        </w:tabs>
        <w:suppressAutoHyphens/>
        <w:spacing w:after="0" w:line="240" w:lineRule="auto"/>
        <w:jc w:val="both"/>
        <w:rPr>
          <w:rFonts w:ascii="Arial" w:eastAsia="Times New Roman" w:hAnsi="Arial" w:cs="Arial"/>
          <w:b/>
          <w:sz w:val="20"/>
          <w:szCs w:val="20"/>
          <w:lang w:eastAsia="zh-CN"/>
        </w:rPr>
      </w:pPr>
    </w:p>
    <w:p w:rsidR="00954521" w:rsidRPr="008C1155" w:rsidRDefault="00954521" w:rsidP="00954521">
      <w:pPr>
        <w:widowControl w:val="0"/>
        <w:numPr>
          <w:ilvl w:val="0"/>
          <w:numId w:val="13"/>
        </w:numPr>
        <w:tabs>
          <w:tab w:val="left" w:pos="283"/>
          <w:tab w:val="left" w:pos="1190"/>
          <w:tab w:val="right" w:pos="3410"/>
          <w:tab w:val="left" w:pos="3688"/>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Uncertainty table:</w:t>
      </w:r>
    </w:p>
    <w:p w:rsidR="00954521" w:rsidRPr="008C1155" w:rsidRDefault="00954521" w:rsidP="00954521">
      <w:pPr>
        <w:widowControl w:val="0"/>
        <w:tabs>
          <w:tab w:val="left" w:pos="283"/>
          <w:tab w:val="left" w:pos="1190"/>
          <w:tab w:val="right" w:pos="3410"/>
          <w:tab w:val="left" w:pos="3688"/>
        </w:tabs>
        <w:suppressAutoHyphens/>
        <w:spacing w:after="0" w:line="240" w:lineRule="auto"/>
        <w:rPr>
          <w:rFonts w:ascii="Arial" w:eastAsia="Times New Roman" w:hAnsi="Arial" w:cs="Arial"/>
          <w:sz w:val="20"/>
          <w:szCs w:val="20"/>
          <w:lang w:eastAsia="zh-CN"/>
        </w:rPr>
      </w:pPr>
    </w:p>
    <w:tbl>
      <w:tblPr>
        <w:tblW w:w="0" w:type="auto"/>
        <w:tblInd w:w="139" w:type="dxa"/>
        <w:tblLayout w:type="fixed"/>
        <w:tblCellMar>
          <w:left w:w="139" w:type="dxa"/>
          <w:right w:w="139" w:type="dxa"/>
        </w:tblCellMar>
        <w:tblLook w:val="0000" w:firstRow="0" w:lastRow="0" w:firstColumn="0" w:lastColumn="0" w:noHBand="0" w:noVBand="0"/>
      </w:tblPr>
      <w:tblGrid>
        <w:gridCol w:w="2017"/>
        <w:gridCol w:w="1248"/>
        <w:gridCol w:w="1644"/>
        <w:gridCol w:w="1644"/>
        <w:gridCol w:w="1045"/>
        <w:gridCol w:w="992"/>
        <w:gridCol w:w="1022"/>
      </w:tblGrid>
      <w:tr w:rsidR="00954521" w:rsidRPr="008C1155" w:rsidTr="007E355B">
        <w:tc>
          <w:tcPr>
            <w:tcW w:w="2017" w:type="dxa"/>
            <w:tcBorders>
              <w:top w:val="double" w:sz="6" w:space="0" w:color="000000"/>
              <w:left w:val="double" w:sz="6" w:space="0" w:color="000000"/>
              <w:bottom w:val="single" w:sz="6" w:space="0" w:color="FFFFFF"/>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Arial" w:hAnsi="Arial" w:cs="Arial"/>
                <w:sz w:val="20"/>
                <w:szCs w:val="20"/>
                <w:lang w:eastAsia="zh-CN"/>
              </w:rPr>
              <w:t xml:space="preserve"> </w:t>
            </w:r>
            <w:r w:rsidRPr="008C1155">
              <w:rPr>
                <w:rFonts w:ascii="Arial" w:eastAsia="Times New Roman" w:hAnsi="Arial" w:cs="Arial"/>
                <w:sz w:val="20"/>
                <w:szCs w:val="20"/>
                <w:lang w:eastAsia="zh-CN"/>
              </w:rPr>
              <w:t>Uncertainty source</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Arial" w:hAnsi="Arial" w:cs="Arial"/>
                <w:i/>
                <w:sz w:val="20"/>
                <w:szCs w:val="20"/>
                <w:lang w:eastAsia="zh-CN"/>
              </w:rPr>
              <w:t xml:space="preserve">     </w:t>
            </w:r>
            <w:r w:rsidRPr="008C1155">
              <w:rPr>
                <w:rFonts w:ascii="Arial" w:eastAsia="Times New Roman" w:hAnsi="Arial" w:cs="Arial"/>
                <w:i/>
                <w:sz w:val="20"/>
                <w:szCs w:val="20"/>
                <w:lang w:eastAsia="zh-CN"/>
              </w:rPr>
              <w:t>X</w:t>
            </w:r>
            <w:r w:rsidRPr="008C1155">
              <w:rPr>
                <w:rFonts w:ascii="Arial" w:eastAsia="Times New Roman" w:hAnsi="Arial" w:cs="Arial"/>
                <w:i/>
                <w:sz w:val="20"/>
                <w:szCs w:val="20"/>
                <w:vertAlign w:val="subscript"/>
                <w:lang w:eastAsia="zh-CN"/>
              </w:rPr>
              <w:t>I</w:t>
            </w:r>
            <w:r w:rsidRPr="008C1155">
              <w:rPr>
                <w:rFonts w:ascii="Arial" w:eastAsia="Times New Roman" w:hAnsi="Arial" w:cs="Arial"/>
                <w:i/>
                <w:sz w:val="20"/>
                <w:szCs w:val="20"/>
                <w:lang w:eastAsia="zh-CN"/>
              </w:rPr>
              <w:t xml:space="preserve"> </w:t>
            </w:r>
          </w:p>
        </w:tc>
        <w:tc>
          <w:tcPr>
            <w:tcW w:w="1248" w:type="dxa"/>
            <w:tcBorders>
              <w:top w:val="double" w:sz="6" w:space="0" w:color="000000"/>
              <w:left w:val="single" w:sz="6" w:space="0" w:color="000000"/>
              <w:bottom w:val="single" w:sz="6" w:space="0" w:color="FFFFFF"/>
            </w:tcBorders>
            <w:shd w:val="clear" w:color="auto" w:fill="E5E5E5"/>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Compound</w:t>
            </w:r>
          </w:p>
        </w:tc>
        <w:tc>
          <w:tcPr>
            <w:tcW w:w="1644" w:type="dxa"/>
            <w:tcBorders>
              <w:top w:val="double" w:sz="6" w:space="0" w:color="000000"/>
              <w:left w:val="single" w:sz="6" w:space="0" w:color="000000"/>
              <w:bottom w:val="single" w:sz="6" w:space="0" w:color="FFFFFF"/>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Estimate</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suppressAutoHyphens/>
              <w:spacing w:after="0" w:line="201" w:lineRule="exact"/>
              <w:rPr>
                <w:rFonts w:ascii="Arial" w:eastAsia="Times New Roman" w:hAnsi="Arial" w:cs="Arial"/>
                <w:sz w:val="20"/>
                <w:szCs w:val="20"/>
                <w:lang w:eastAsia="zh-CN"/>
              </w:rPr>
            </w:pPr>
            <w:r w:rsidRPr="008C1155">
              <w:rPr>
                <w:rFonts w:ascii="Arial" w:eastAsia="Arial" w:hAnsi="Arial" w:cs="Arial"/>
                <w:i/>
                <w:sz w:val="20"/>
                <w:szCs w:val="20"/>
                <w:lang w:eastAsia="zh-CN"/>
              </w:rPr>
              <w:t xml:space="preserve">   </w:t>
            </w:r>
            <w:proofErr w:type="spellStart"/>
            <w:r w:rsidRPr="008C1155">
              <w:rPr>
                <w:rFonts w:ascii="Arial" w:eastAsia="Times New Roman" w:hAnsi="Arial" w:cs="Arial"/>
                <w:i/>
                <w:sz w:val="20"/>
                <w:szCs w:val="20"/>
                <w:lang w:eastAsia="zh-CN"/>
              </w:rPr>
              <w:t>x</w:t>
            </w:r>
            <w:r w:rsidRPr="008C1155">
              <w:rPr>
                <w:rFonts w:ascii="Arial" w:eastAsia="Times New Roman" w:hAnsi="Arial" w:cs="Arial"/>
                <w:i/>
                <w:sz w:val="20"/>
                <w:szCs w:val="20"/>
                <w:vertAlign w:val="subscript"/>
                <w:lang w:eastAsia="zh-CN"/>
              </w:rPr>
              <w:t>I</w:t>
            </w:r>
            <w:proofErr w:type="spellEnd"/>
          </w:p>
        </w:tc>
        <w:tc>
          <w:tcPr>
            <w:tcW w:w="1644" w:type="dxa"/>
            <w:tcBorders>
              <w:top w:val="double" w:sz="6" w:space="0" w:color="000000"/>
              <w:left w:val="single" w:sz="6" w:space="0" w:color="000000"/>
              <w:bottom w:val="single" w:sz="6" w:space="0" w:color="FFFFFF"/>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Assumed distribution</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suppressAutoHyphens/>
              <w:spacing w:after="0" w:line="201" w:lineRule="exact"/>
              <w:rPr>
                <w:rFonts w:ascii="Arial" w:eastAsia="Times New Roman" w:hAnsi="Arial" w:cs="Arial"/>
                <w:sz w:val="20"/>
                <w:szCs w:val="20"/>
                <w:lang w:eastAsia="zh-CN"/>
              </w:rPr>
            </w:pPr>
          </w:p>
        </w:tc>
        <w:tc>
          <w:tcPr>
            <w:tcW w:w="1045" w:type="dxa"/>
            <w:tcBorders>
              <w:top w:val="double" w:sz="6" w:space="0" w:color="000000"/>
              <w:left w:val="single" w:sz="6" w:space="0" w:color="000000"/>
              <w:bottom w:val="single" w:sz="6" w:space="0" w:color="FFFFFF"/>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Standard uncertainty</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Arial" w:hAnsi="Arial" w:cs="Arial"/>
                <w:i/>
                <w:sz w:val="20"/>
                <w:szCs w:val="20"/>
                <w:lang w:eastAsia="zh-CN"/>
              </w:rPr>
              <w:t xml:space="preserve">    </w:t>
            </w:r>
            <w:r w:rsidRPr="008C1155">
              <w:rPr>
                <w:rFonts w:ascii="Arial" w:eastAsia="Times New Roman" w:hAnsi="Arial" w:cs="Arial"/>
                <w:i/>
                <w:sz w:val="20"/>
                <w:szCs w:val="20"/>
                <w:lang w:eastAsia="zh-CN"/>
              </w:rPr>
              <w:t>u(x</w:t>
            </w:r>
            <w:r w:rsidRPr="008C1155">
              <w:rPr>
                <w:rFonts w:ascii="Arial" w:eastAsia="Times New Roman" w:hAnsi="Arial" w:cs="Arial"/>
                <w:i/>
                <w:sz w:val="20"/>
                <w:szCs w:val="20"/>
                <w:vertAlign w:val="subscript"/>
                <w:lang w:eastAsia="zh-CN"/>
              </w:rPr>
              <w:t>i</w:t>
            </w:r>
            <w:r w:rsidRPr="008C1155">
              <w:rPr>
                <w:rFonts w:ascii="Arial" w:eastAsia="Times New Roman" w:hAnsi="Arial" w:cs="Arial"/>
                <w:i/>
                <w:sz w:val="20"/>
                <w:szCs w:val="20"/>
                <w:lang w:eastAsia="zh-CN"/>
              </w:rPr>
              <w:t>)</w:t>
            </w:r>
            <w:r w:rsidRPr="008C1155">
              <w:rPr>
                <w:rFonts w:ascii="Arial" w:eastAsia="Times New Roman" w:hAnsi="Arial" w:cs="Arial"/>
                <w:sz w:val="20"/>
                <w:szCs w:val="20"/>
                <w:lang w:eastAsia="zh-CN"/>
              </w:rPr>
              <w:t xml:space="preserve"> </w:t>
            </w:r>
          </w:p>
        </w:tc>
        <w:tc>
          <w:tcPr>
            <w:tcW w:w="992" w:type="dxa"/>
            <w:tcBorders>
              <w:top w:val="double" w:sz="6" w:space="0" w:color="000000"/>
              <w:left w:val="single" w:sz="6" w:space="0" w:color="000000"/>
              <w:bottom w:val="single" w:sz="6" w:space="0" w:color="FFFFFF"/>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Sensitivity coefficient</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Arial" w:hAnsi="Arial" w:cs="Arial"/>
                <w:sz w:val="20"/>
                <w:szCs w:val="20"/>
                <w:lang w:eastAsia="zh-CN"/>
              </w:rPr>
              <w:t xml:space="preserve">     </w:t>
            </w:r>
            <w:proofErr w:type="spellStart"/>
            <w:r w:rsidRPr="008C1155">
              <w:rPr>
                <w:rFonts w:ascii="Arial" w:eastAsia="Times New Roman" w:hAnsi="Arial" w:cs="Arial"/>
                <w:sz w:val="20"/>
                <w:szCs w:val="20"/>
                <w:lang w:eastAsia="zh-CN"/>
              </w:rPr>
              <w:t>c</w:t>
            </w:r>
            <w:r w:rsidRPr="008C1155">
              <w:rPr>
                <w:rFonts w:ascii="Arial" w:eastAsia="Times New Roman" w:hAnsi="Arial" w:cs="Arial"/>
                <w:i/>
                <w:sz w:val="20"/>
                <w:szCs w:val="20"/>
                <w:vertAlign w:val="subscript"/>
                <w:lang w:eastAsia="zh-CN"/>
              </w:rPr>
              <w:t>I</w:t>
            </w:r>
            <w:proofErr w:type="spellEnd"/>
            <w:r w:rsidRPr="008C1155">
              <w:rPr>
                <w:rFonts w:ascii="Arial" w:eastAsia="Times New Roman" w:hAnsi="Arial" w:cs="Arial"/>
                <w:i/>
                <w:sz w:val="20"/>
                <w:szCs w:val="20"/>
                <w:lang w:eastAsia="zh-CN"/>
              </w:rPr>
              <w:t xml:space="preserve"> </w:t>
            </w:r>
          </w:p>
        </w:tc>
        <w:tc>
          <w:tcPr>
            <w:tcW w:w="1022" w:type="dxa"/>
            <w:tcBorders>
              <w:top w:val="double" w:sz="6" w:space="0" w:color="000000"/>
              <w:left w:val="single" w:sz="6" w:space="0" w:color="000000"/>
              <w:bottom w:val="single" w:sz="6" w:space="0" w:color="FFFFFF"/>
              <w:right w:val="double" w:sz="6" w:space="0" w:color="000000"/>
            </w:tcBorders>
            <w:shd w:val="clear" w:color="auto" w:fill="E5E5E5"/>
          </w:tcPr>
          <w:p w:rsidR="00954521" w:rsidRPr="008C1155" w:rsidRDefault="00954521" w:rsidP="007E355B">
            <w:pPr>
              <w:widowControl w:val="0"/>
              <w:suppressAutoHyphens/>
              <w:snapToGrid w:val="0"/>
              <w:spacing w:after="0" w:line="201"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Arial" w:hAnsi="Arial" w:cs="Arial"/>
                <w:sz w:val="20"/>
                <w:szCs w:val="20"/>
                <w:lang w:eastAsia="zh-CN"/>
              </w:rPr>
            </w:pPr>
            <w:r w:rsidRPr="008C1155">
              <w:rPr>
                <w:rFonts w:ascii="Arial" w:eastAsia="Times New Roman" w:hAnsi="Arial" w:cs="Arial"/>
                <w:sz w:val="20"/>
                <w:szCs w:val="20"/>
                <w:lang w:eastAsia="zh-CN"/>
              </w:rPr>
              <w:t>Contribution to standard uncertainty</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Arial" w:hAnsi="Arial" w:cs="Arial"/>
                <w:sz w:val="20"/>
                <w:szCs w:val="20"/>
                <w:lang w:eastAsia="zh-CN"/>
              </w:rPr>
              <w:t xml:space="preserve">      </w:t>
            </w:r>
            <w:proofErr w:type="spellStart"/>
            <w:r w:rsidRPr="008C1155">
              <w:rPr>
                <w:rFonts w:ascii="Arial" w:eastAsia="Times New Roman" w:hAnsi="Arial" w:cs="Arial"/>
                <w:i/>
                <w:sz w:val="20"/>
                <w:szCs w:val="20"/>
                <w:lang w:eastAsia="zh-CN"/>
              </w:rPr>
              <w:t>u</w:t>
            </w:r>
            <w:r w:rsidRPr="008C1155">
              <w:rPr>
                <w:rFonts w:ascii="Arial" w:eastAsia="Times New Roman" w:hAnsi="Arial" w:cs="Arial"/>
                <w:i/>
                <w:sz w:val="20"/>
                <w:szCs w:val="20"/>
                <w:vertAlign w:val="subscript"/>
                <w:lang w:eastAsia="zh-CN"/>
              </w:rPr>
              <w:t>I</w:t>
            </w:r>
            <w:proofErr w:type="spellEnd"/>
            <w:r w:rsidRPr="008C1155">
              <w:rPr>
                <w:rFonts w:ascii="Arial" w:eastAsia="Times New Roman" w:hAnsi="Arial" w:cs="Arial"/>
                <w:i/>
                <w:sz w:val="20"/>
                <w:szCs w:val="20"/>
                <w:lang w:eastAsia="zh-CN"/>
              </w:rPr>
              <w:t>(y)</w:t>
            </w:r>
          </w:p>
        </w:tc>
      </w:tr>
      <w:tr w:rsidR="00954521" w:rsidRPr="008C1155" w:rsidTr="007E355B">
        <w:tc>
          <w:tcPr>
            <w:tcW w:w="2017" w:type="dxa"/>
            <w:tcBorders>
              <w:top w:val="single" w:sz="6" w:space="0" w:color="000000"/>
              <w:left w:val="double" w:sz="6" w:space="0" w:color="000000"/>
              <w:bottom w:val="single" w:sz="6" w:space="0" w:color="FFFFFF"/>
            </w:tcBorders>
            <w:shd w:val="clear" w:color="auto" w:fill="auto"/>
          </w:tcPr>
          <w:p w:rsidR="00954521" w:rsidRPr="008C1155" w:rsidRDefault="00954521" w:rsidP="007E355B">
            <w:pPr>
              <w:widowControl w:val="0"/>
              <w:suppressAutoHyphens/>
              <w:spacing w:after="0" w:line="163" w:lineRule="exact"/>
              <w:rPr>
                <w:rFonts w:ascii="Arial" w:eastAsia="Times New Roman" w:hAnsi="Arial" w:cs="Arial"/>
                <w:sz w:val="18"/>
                <w:szCs w:val="18"/>
                <w:lang w:eastAsia="zh-CN"/>
              </w:rPr>
            </w:pPr>
            <w:r w:rsidRPr="008C1155">
              <w:rPr>
                <w:rFonts w:ascii="Arial" w:eastAsia="Times New Roman" w:hAnsi="Arial" w:cs="Arial"/>
                <w:sz w:val="20"/>
                <w:szCs w:val="20"/>
                <w:lang w:eastAsia="zh-CN"/>
              </w:rPr>
              <w:t>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100" w:lineRule="atLeast"/>
              <w:rPr>
                <w:rFonts w:ascii="Arial" w:eastAsia="Times New Roman" w:hAnsi="Arial" w:cs="Arial"/>
                <w:sz w:val="18"/>
                <w:szCs w:val="18"/>
                <w:lang w:eastAsia="zh-CN"/>
              </w:rPr>
            </w:pPr>
            <w:r w:rsidRPr="008C1155">
              <w:rPr>
                <w:rFonts w:ascii="Arial" w:eastAsia="Times New Roman" w:hAnsi="Arial" w:cs="Arial"/>
                <w:sz w:val="18"/>
                <w:szCs w:val="18"/>
                <w:lang w:eastAsia="zh-CN"/>
              </w:rPr>
              <w:lastRenderedPageBreak/>
              <w:t xml:space="preserve">Estimated Analytical Interference Uncertainty (including reagent impurity).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100" w:lineRule="atLeast"/>
              <w:rPr>
                <w:rFonts w:ascii="Arial" w:eastAsia="Times New Roman" w:hAnsi="Arial" w:cs="Arial"/>
                <w:sz w:val="20"/>
                <w:szCs w:val="20"/>
                <w:lang w:eastAsia="zh-CN"/>
              </w:rPr>
            </w:pPr>
            <w:r w:rsidRPr="008C1155">
              <w:rPr>
                <w:rFonts w:ascii="Arial" w:eastAsia="Times New Roman" w:hAnsi="Arial" w:cs="Arial"/>
                <w:sz w:val="18"/>
                <w:szCs w:val="18"/>
                <w:lang w:eastAsia="zh-CN"/>
              </w:rPr>
              <w:t>We requested this information from SIO</w:t>
            </w:r>
            <w:r w:rsidRPr="008C1155">
              <w:rPr>
                <w:rFonts w:ascii="Arial" w:eastAsia="Times New Roman" w:hAnsi="Arial" w:cs="Arial"/>
                <w:sz w:val="20"/>
                <w:szCs w:val="18"/>
                <w:lang w:eastAsia="zh-CN"/>
              </w:rPr>
              <w:t>, is their sqrt-combined uncertainties of the SIO reported (19 April 2014) Primary Standard Preparation and Estimated Analytical interference.</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248" w:type="dxa"/>
            <w:tcBorders>
              <w:top w:val="single" w:sz="6" w:space="0" w:color="000000"/>
              <w:left w:val="single" w:sz="6" w:space="0" w:color="000000"/>
              <w:bottom w:val="single" w:sz="6" w:space="0" w:color="FFFFFF"/>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lastRenderedPageBreak/>
              <w:t>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20"/>
                <w:szCs w:val="20"/>
                <w:lang w:eastAsia="zh-CN"/>
              </w:rPr>
            </w:pPr>
            <w:r w:rsidRPr="008C1155">
              <w:rPr>
                <w:rFonts w:ascii="Arial" w:eastAsia="Times New Roman" w:hAnsi="Arial" w:cs="Arial"/>
                <w:sz w:val="18"/>
                <w:szCs w:val="18"/>
                <w:lang w:eastAsia="zh-CN"/>
              </w:rPr>
              <w:t>HCFC-142b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644" w:type="dxa"/>
            <w:tcBorders>
              <w:top w:val="single" w:sz="6" w:space="0" w:color="000000"/>
              <w:left w:val="single" w:sz="6" w:space="0" w:color="000000"/>
              <w:bottom w:val="single" w:sz="6" w:space="0" w:color="FFFFFF"/>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lastRenderedPageBreak/>
              <w:t>1.12 %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1.16 %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1.56 %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1.60 %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1.14 %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100" w:lineRule="atLeast"/>
              <w:jc w:val="center"/>
              <w:rPr>
                <w:rFonts w:ascii="Arial" w:eastAsia="Times New Roman" w:hAnsi="Arial" w:cs="Arial"/>
                <w:sz w:val="20"/>
                <w:szCs w:val="20"/>
                <w:lang w:eastAsia="zh-CN"/>
              </w:rPr>
            </w:pPr>
            <w:r w:rsidRPr="008C1155">
              <w:rPr>
                <w:rFonts w:ascii="Arial" w:eastAsia="Times New Roman" w:hAnsi="Arial" w:cs="Arial"/>
                <w:sz w:val="18"/>
                <w:szCs w:val="18"/>
                <w:lang w:eastAsia="zh-CN"/>
              </w:rPr>
              <w:t>2.04 %</w:t>
            </w: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644" w:type="dxa"/>
            <w:tcBorders>
              <w:top w:val="single" w:sz="6" w:space="0" w:color="000000"/>
              <w:left w:val="single" w:sz="6" w:space="0" w:color="000000"/>
              <w:bottom w:val="single" w:sz="6" w:space="0" w:color="FFFFFF"/>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45" w:type="dxa"/>
            <w:tcBorders>
              <w:top w:val="single" w:sz="6" w:space="0" w:color="000000"/>
              <w:left w:val="single" w:sz="6" w:space="0" w:color="000000"/>
              <w:bottom w:val="single" w:sz="6" w:space="0" w:color="FFFFFF"/>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992" w:type="dxa"/>
            <w:tcBorders>
              <w:top w:val="single" w:sz="6" w:space="0" w:color="000000"/>
              <w:left w:val="single" w:sz="6" w:space="0" w:color="000000"/>
              <w:bottom w:val="single" w:sz="6" w:space="0" w:color="FFFFFF"/>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022" w:type="dxa"/>
            <w:tcBorders>
              <w:top w:val="single" w:sz="6" w:space="0" w:color="000000"/>
              <w:left w:val="single" w:sz="6" w:space="0" w:color="000000"/>
              <w:bottom w:val="single" w:sz="6" w:space="0" w:color="FFFFFF"/>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r>
      <w:tr w:rsidR="00954521" w:rsidRPr="008C1155" w:rsidTr="007E355B">
        <w:tc>
          <w:tcPr>
            <w:tcW w:w="2017" w:type="dxa"/>
            <w:tcBorders>
              <w:top w:val="single" w:sz="6" w:space="0" w:color="000000"/>
              <w:left w:val="doub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lastRenderedPageBreak/>
              <w:t>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Propagation uncertainty (from primary scale to Empa instrument working standards, 2 sigma)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248" w:type="dxa"/>
            <w:tcBorders>
              <w:top w:val="single" w:sz="6" w:space="0" w:color="000000"/>
              <w:left w:val="sing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18"/>
                <w:szCs w:val="18"/>
                <w:lang w:eastAsia="zh-CN"/>
              </w:rPr>
            </w:pPr>
            <w:r w:rsidRPr="008C1155">
              <w:rPr>
                <w:rFonts w:ascii="Arial" w:eastAsia="Times New Roman" w:hAnsi="Arial" w:cs="Arial"/>
                <w:sz w:val="18"/>
                <w:szCs w:val="18"/>
                <w:lang w:eastAsia="zh-CN"/>
              </w:rPr>
              <w:t>HCFC-142b</w:t>
            </w:r>
          </w:p>
        </w:tc>
        <w:tc>
          <w:tcPr>
            <w:tcW w:w="1644" w:type="dxa"/>
            <w:tcBorders>
              <w:top w:val="single" w:sz="6" w:space="0" w:color="000000"/>
              <w:left w:val="sing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0.16 %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0.62 %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6.8 %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0.46 %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0.40 %</w:t>
            </w:r>
          </w:p>
          <w:p w:rsidR="00954521" w:rsidRPr="008C1155" w:rsidRDefault="00954521" w:rsidP="007E355B">
            <w:pPr>
              <w:widowControl w:val="0"/>
              <w:suppressAutoHyphens/>
              <w:spacing w:after="0" w:line="163" w:lineRule="exact"/>
              <w:jc w:val="center"/>
              <w:rPr>
                <w:rFonts w:ascii="Arial" w:eastAsia="Times New Roman" w:hAnsi="Arial" w:cs="Arial"/>
                <w:sz w:val="20"/>
                <w:szCs w:val="20"/>
                <w:lang w:eastAsia="zh-CN"/>
              </w:rPr>
            </w:pPr>
            <w:r w:rsidRPr="008C1155">
              <w:rPr>
                <w:rFonts w:ascii="Arial" w:eastAsia="Times New Roman" w:hAnsi="Arial" w:cs="Arial"/>
                <w:sz w:val="18"/>
                <w:szCs w:val="18"/>
                <w:lang w:eastAsia="zh-CN"/>
              </w:rPr>
              <w:t>0.94 %</w:t>
            </w:r>
          </w:p>
        </w:tc>
        <w:tc>
          <w:tcPr>
            <w:tcW w:w="1644"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45"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992"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22" w:type="dxa"/>
            <w:tcBorders>
              <w:top w:val="single" w:sz="6" w:space="0" w:color="000000"/>
              <w:left w:val="sing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r>
      <w:tr w:rsidR="00954521" w:rsidRPr="008C1155" w:rsidTr="007E355B">
        <w:tc>
          <w:tcPr>
            <w:tcW w:w="2017" w:type="dxa"/>
            <w:tcBorders>
              <w:top w:val="single" w:sz="6" w:space="0" w:color="000000"/>
              <w:left w:val="doub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Measurement uncertainty, 2 sigma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248" w:type="dxa"/>
            <w:tcBorders>
              <w:top w:val="single" w:sz="6" w:space="0" w:color="000000"/>
              <w:left w:val="sing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18"/>
                <w:szCs w:val="18"/>
                <w:lang w:eastAsia="zh-CN"/>
              </w:rPr>
            </w:pPr>
            <w:r w:rsidRPr="008C1155">
              <w:rPr>
                <w:rFonts w:ascii="Arial" w:eastAsia="Times New Roman" w:hAnsi="Arial" w:cs="Arial"/>
                <w:sz w:val="18"/>
                <w:szCs w:val="18"/>
                <w:lang w:eastAsia="zh-CN"/>
              </w:rPr>
              <w:t>HCFC-142b</w:t>
            </w:r>
          </w:p>
        </w:tc>
        <w:tc>
          <w:tcPr>
            <w:tcW w:w="1644" w:type="dxa"/>
            <w:tcBorders>
              <w:top w:val="single" w:sz="6" w:space="0" w:color="000000"/>
              <w:left w:val="sing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0.16 %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0.62 %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6.8 %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0.46 %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0.40 %</w:t>
            </w:r>
          </w:p>
          <w:p w:rsidR="00954521" w:rsidRPr="008C1155" w:rsidRDefault="00954521" w:rsidP="007E355B">
            <w:pPr>
              <w:widowControl w:val="0"/>
              <w:suppressAutoHyphens/>
              <w:spacing w:after="0" w:line="163" w:lineRule="exact"/>
              <w:jc w:val="center"/>
              <w:rPr>
                <w:rFonts w:ascii="Arial" w:eastAsia="Times New Roman" w:hAnsi="Arial" w:cs="Arial"/>
                <w:sz w:val="20"/>
                <w:szCs w:val="20"/>
                <w:lang w:eastAsia="zh-CN"/>
              </w:rPr>
            </w:pPr>
            <w:r w:rsidRPr="008C1155">
              <w:rPr>
                <w:rFonts w:ascii="Arial" w:eastAsia="Times New Roman" w:hAnsi="Arial" w:cs="Arial"/>
                <w:sz w:val="18"/>
                <w:szCs w:val="18"/>
                <w:lang w:eastAsia="zh-CN"/>
              </w:rPr>
              <w:t>0.94 %</w:t>
            </w:r>
          </w:p>
        </w:tc>
        <w:tc>
          <w:tcPr>
            <w:tcW w:w="1644"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45"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992"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22" w:type="dxa"/>
            <w:tcBorders>
              <w:top w:val="single" w:sz="6" w:space="0" w:color="000000"/>
              <w:left w:val="sing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r>
      <w:tr w:rsidR="00954521" w:rsidRPr="008C1155" w:rsidTr="007E355B">
        <w:tc>
          <w:tcPr>
            <w:tcW w:w="2017" w:type="dxa"/>
            <w:tcBorders>
              <w:top w:val="single" w:sz="6" w:space="0" w:color="000000"/>
              <w:left w:val="doub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Overall expanded uncertainty</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20"/>
                <w:szCs w:val="20"/>
                <w:lang w:eastAsia="zh-CN"/>
              </w:rPr>
              <w:t>SQRT of sum of squared 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248" w:type="dxa"/>
            <w:tcBorders>
              <w:top w:val="single" w:sz="6" w:space="0" w:color="000000"/>
              <w:left w:val="sing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CFC-113</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HFC-134a</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HCFC-22</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r w:rsidRPr="008C1155">
              <w:rPr>
                <w:rFonts w:ascii="Arial" w:eastAsia="Times New Roman" w:hAnsi="Arial" w:cs="Arial"/>
                <w:sz w:val="18"/>
                <w:szCs w:val="18"/>
                <w:lang w:eastAsia="zh-CN"/>
              </w:rPr>
              <w:t>HCFC-142b</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644" w:type="dxa"/>
            <w:tcBorders>
              <w:top w:val="single" w:sz="6" w:space="0" w:color="000000"/>
              <w:left w:val="sing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jc w:val="center"/>
              <w:rPr>
                <w:rFonts w:ascii="Arial" w:eastAsia="Times New Roman" w:hAnsi="Arial" w:cs="Arial"/>
                <w:sz w:val="18"/>
                <w:szCs w:val="18"/>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1.14 %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1.45 %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9.74 %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1.72 %</w:t>
            </w: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jc w:val="center"/>
              <w:rPr>
                <w:rFonts w:ascii="Arial" w:eastAsia="Times New Roman" w:hAnsi="Arial" w:cs="Arial"/>
                <w:sz w:val="18"/>
                <w:szCs w:val="18"/>
                <w:lang w:eastAsia="zh-CN"/>
              </w:rPr>
            </w:pPr>
            <w:r w:rsidRPr="008C1155">
              <w:rPr>
                <w:rFonts w:ascii="Arial" w:eastAsia="Times New Roman" w:hAnsi="Arial" w:cs="Arial"/>
                <w:sz w:val="18"/>
                <w:szCs w:val="18"/>
                <w:lang w:eastAsia="zh-CN"/>
              </w:rPr>
              <w:t>1.27 %</w:t>
            </w:r>
          </w:p>
          <w:p w:rsidR="00954521" w:rsidRPr="008C1155" w:rsidRDefault="00954521" w:rsidP="007E355B">
            <w:pPr>
              <w:widowControl w:val="0"/>
              <w:suppressAutoHyphens/>
              <w:spacing w:after="0" w:line="163" w:lineRule="exact"/>
              <w:jc w:val="center"/>
              <w:rPr>
                <w:rFonts w:ascii="Arial" w:eastAsia="Times New Roman" w:hAnsi="Arial" w:cs="Arial"/>
                <w:sz w:val="20"/>
                <w:szCs w:val="20"/>
                <w:lang w:eastAsia="zh-CN"/>
              </w:rPr>
            </w:pPr>
            <w:r w:rsidRPr="008C1155">
              <w:rPr>
                <w:rFonts w:ascii="Arial" w:eastAsia="Times New Roman" w:hAnsi="Arial" w:cs="Arial"/>
                <w:sz w:val="18"/>
                <w:szCs w:val="18"/>
                <w:lang w:eastAsia="zh-CN"/>
              </w:rPr>
              <w:t>2.43 %</w:t>
            </w:r>
          </w:p>
        </w:tc>
        <w:tc>
          <w:tcPr>
            <w:tcW w:w="1644"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45"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992" w:type="dxa"/>
            <w:tcBorders>
              <w:top w:val="single" w:sz="6" w:space="0" w:color="000000"/>
              <w:left w:val="sing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22" w:type="dxa"/>
            <w:tcBorders>
              <w:top w:val="single" w:sz="6" w:space="0" w:color="000000"/>
              <w:left w:val="sing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r>
      <w:tr w:rsidR="00954521" w:rsidRPr="008C1155" w:rsidTr="007E355B">
        <w:tc>
          <w:tcPr>
            <w:tcW w:w="2017" w:type="dxa"/>
            <w:tcBorders>
              <w:top w:val="single" w:sz="6" w:space="0" w:color="000000"/>
              <w:left w:val="doub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248"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napToGrid w:val="0"/>
              <w:spacing w:after="0" w:line="240" w:lineRule="auto"/>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644"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tc>
        <w:tc>
          <w:tcPr>
            <w:tcW w:w="1644"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suppressAutoHyphens/>
              <w:spacing w:after="0" w:line="163" w:lineRule="exact"/>
              <w:rPr>
                <w:rFonts w:ascii="Arial" w:eastAsia="Times New Roman" w:hAnsi="Arial" w:cs="Arial"/>
                <w:sz w:val="20"/>
                <w:szCs w:val="20"/>
                <w:lang w:eastAsia="zh-CN"/>
              </w:rPr>
            </w:pPr>
          </w:p>
        </w:tc>
        <w:tc>
          <w:tcPr>
            <w:tcW w:w="1045"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992" w:type="dxa"/>
            <w:tcBorders>
              <w:top w:val="single" w:sz="6" w:space="0" w:color="000000"/>
              <w:left w:val="single" w:sz="6" w:space="0" w:color="000000"/>
              <w:bottom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c>
          <w:tcPr>
            <w:tcW w:w="1022" w:type="dxa"/>
            <w:tcBorders>
              <w:top w:val="single" w:sz="6" w:space="0" w:color="000000"/>
              <w:left w:val="single" w:sz="6" w:space="0" w:color="000000"/>
              <w:bottom w:val="double" w:sz="6" w:space="0" w:color="000000"/>
              <w:right w:val="double" w:sz="6" w:space="0" w:color="000000"/>
            </w:tcBorders>
            <w:shd w:val="clear" w:color="auto" w:fill="auto"/>
          </w:tcPr>
          <w:p w:rsidR="00954521" w:rsidRPr="008C1155" w:rsidRDefault="00954521" w:rsidP="007E355B">
            <w:pPr>
              <w:widowControl w:val="0"/>
              <w:suppressAutoHyphens/>
              <w:snapToGrid w:val="0"/>
              <w:spacing w:after="0" w:line="163" w:lineRule="exact"/>
              <w:rPr>
                <w:rFonts w:ascii="Arial" w:eastAsia="Times New Roman" w:hAnsi="Arial" w:cs="Arial"/>
                <w:sz w:val="20"/>
                <w:szCs w:val="20"/>
                <w:lang w:eastAsia="zh-CN"/>
              </w:rPr>
            </w:pPr>
          </w:p>
          <w:p w:rsidR="00954521" w:rsidRPr="008C1155" w:rsidRDefault="00954521" w:rsidP="007E355B">
            <w:pPr>
              <w:widowControl w:val="0"/>
              <w:tabs>
                <w:tab w:val="left" w:pos="283"/>
                <w:tab w:val="left" w:pos="1190"/>
                <w:tab w:val="left" w:pos="1790"/>
                <w:tab w:val="left" w:pos="2301"/>
                <w:tab w:val="left" w:pos="3151"/>
                <w:tab w:val="left" w:pos="3688"/>
                <w:tab w:val="left" w:pos="4341"/>
              </w:tabs>
              <w:suppressAutoHyphens/>
              <w:spacing w:after="0" w:line="240" w:lineRule="auto"/>
              <w:rPr>
                <w:rFonts w:ascii="Arial" w:eastAsia="Times New Roman" w:hAnsi="Arial" w:cs="Arial"/>
                <w:sz w:val="20"/>
                <w:szCs w:val="20"/>
                <w:lang w:eastAsia="zh-CN"/>
              </w:rPr>
            </w:pPr>
          </w:p>
        </w:tc>
      </w:tr>
    </w:tbl>
    <w:p w:rsidR="00954521" w:rsidRPr="008C1155" w:rsidRDefault="00954521" w:rsidP="00954521">
      <w:pPr>
        <w:widowControl w:val="0"/>
        <w:tabs>
          <w:tab w:val="left" w:pos="0"/>
          <w:tab w:val="left" w:pos="2853"/>
        </w:tabs>
        <w:suppressAutoHyphens/>
        <w:spacing w:after="0" w:line="240" w:lineRule="auto"/>
        <w:rPr>
          <w:rFonts w:ascii="Courier" w:eastAsia="Times New Roman" w:hAnsi="Courier" w:cs="Courier"/>
          <w:sz w:val="24"/>
          <w:szCs w:val="20"/>
          <w:lang w:eastAsia="zh-CN"/>
        </w:rPr>
      </w:pP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Coverage factor:</w:t>
      </w:r>
    </w:p>
    <w:p w:rsidR="00954521" w:rsidRPr="008C1155" w:rsidRDefault="00954521" w:rsidP="00954521">
      <w:pPr>
        <w:widowControl w:val="0"/>
        <w:tabs>
          <w:tab w:val="left" w:pos="0"/>
          <w:tab w:val="left" w:pos="2853"/>
        </w:tabs>
        <w:suppressAutoHyphens/>
        <w:spacing w:after="0" w:line="240" w:lineRule="auto"/>
        <w:jc w:val="both"/>
        <w:rPr>
          <w:rFonts w:ascii="Arial" w:eastAsia="Times New Roman" w:hAnsi="Arial" w:cs="Arial"/>
          <w:sz w:val="20"/>
          <w:szCs w:val="20"/>
          <w:lang w:eastAsia="zh-CN"/>
        </w:rPr>
      </w:pPr>
      <w:r w:rsidRPr="008C1155">
        <w:rPr>
          <w:rFonts w:ascii="Arial" w:eastAsia="Times New Roman" w:hAnsi="Arial" w:cs="Arial"/>
          <w:sz w:val="20"/>
          <w:szCs w:val="20"/>
          <w:lang w:eastAsia="zh-CN"/>
        </w:rPr>
        <w:t xml:space="preserve">Expanded </w:t>
      </w:r>
      <w:proofErr w:type="spellStart"/>
      <w:r w:rsidRPr="008C1155">
        <w:rPr>
          <w:rFonts w:ascii="Arial" w:eastAsia="Times New Roman" w:hAnsi="Arial" w:cs="Arial"/>
          <w:sz w:val="20"/>
          <w:szCs w:val="20"/>
          <w:lang w:eastAsia="zh-CN"/>
        </w:rPr>
        <w:t>uncertainty</w:t>
      </w:r>
      <w:proofErr w:type="gramStart"/>
      <w:r w:rsidRPr="008C1155">
        <w:rPr>
          <w:rFonts w:ascii="Arial" w:eastAsia="Times New Roman" w:hAnsi="Arial" w:cs="Arial"/>
          <w:sz w:val="20"/>
          <w:szCs w:val="20"/>
          <w:lang w:eastAsia="zh-CN"/>
        </w:rPr>
        <w:t>:see</w:t>
      </w:r>
      <w:proofErr w:type="spellEnd"/>
      <w:proofErr w:type="gramEnd"/>
      <w:r w:rsidRPr="008C1155">
        <w:rPr>
          <w:rFonts w:ascii="Arial" w:eastAsia="Times New Roman" w:hAnsi="Arial" w:cs="Arial"/>
          <w:sz w:val="20"/>
          <w:szCs w:val="20"/>
          <w:lang w:eastAsia="zh-CN"/>
        </w:rPr>
        <w:t xml:space="preserve"> above table</w:t>
      </w:r>
    </w:p>
    <w:p w:rsidR="00F11CD6" w:rsidRPr="00990740" w:rsidRDefault="00F11CD6" w:rsidP="00954521"/>
    <w:sectPr w:rsidR="00F11CD6" w:rsidRPr="00990740" w:rsidSect="004A0B69">
      <w:footerReference w:type="default" r:id="rId6"/>
      <w:pgSz w:w="12240" w:h="15840" w:code="1"/>
      <w:pgMar w:top="720" w:right="1008" w:bottom="720" w:left="1008" w:header="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D8" w:rsidRDefault="007977D8">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643"/>
        </w:tabs>
        <w:ind w:left="643"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250270CB"/>
    <w:multiLevelType w:val="hybridMultilevel"/>
    <w:tmpl w:val="5E82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86E6E"/>
    <w:multiLevelType w:val="hybridMultilevel"/>
    <w:tmpl w:val="8ED02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C547CC"/>
    <w:multiLevelType w:val="hybridMultilevel"/>
    <w:tmpl w:val="B78E4996"/>
    <w:lvl w:ilvl="0" w:tplc="1EE8F69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971A4"/>
    <w:multiLevelType w:val="hybridMultilevel"/>
    <w:tmpl w:val="D0341BEE"/>
    <w:lvl w:ilvl="0" w:tplc="1EE8F69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B7B48"/>
    <w:multiLevelType w:val="hybridMultilevel"/>
    <w:tmpl w:val="5B04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037EE"/>
    <w:multiLevelType w:val="singleLevel"/>
    <w:tmpl w:val="C6DC8D40"/>
    <w:lvl w:ilvl="0">
      <w:start w:val="1"/>
      <w:numFmt w:val="lowerLetter"/>
      <w:lvlText w:val="%1)"/>
      <w:lvlJc w:val="left"/>
      <w:pPr>
        <w:tabs>
          <w:tab w:val="num" w:pos="643"/>
        </w:tabs>
        <w:ind w:left="643" w:hanging="360"/>
      </w:pPr>
      <w:rPr>
        <w:rFonts w:hint="default"/>
      </w:rPr>
    </w:lvl>
  </w:abstractNum>
  <w:abstractNum w:abstractNumId="9">
    <w:nsid w:val="48907509"/>
    <w:multiLevelType w:val="hybridMultilevel"/>
    <w:tmpl w:val="F63874EE"/>
    <w:lvl w:ilvl="0" w:tplc="1EE8F69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27B70"/>
    <w:multiLevelType w:val="hybridMultilevel"/>
    <w:tmpl w:val="6E6C7E90"/>
    <w:lvl w:ilvl="0" w:tplc="1EE8F69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0D5784"/>
    <w:multiLevelType w:val="hybridMultilevel"/>
    <w:tmpl w:val="AD7CD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D6AD5"/>
    <w:multiLevelType w:val="hybridMultilevel"/>
    <w:tmpl w:val="28CC624E"/>
    <w:lvl w:ilvl="0" w:tplc="1EE8F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65E3A"/>
    <w:multiLevelType w:val="hybridMultilevel"/>
    <w:tmpl w:val="27FEA2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450F0F"/>
    <w:multiLevelType w:val="hybridMultilevel"/>
    <w:tmpl w:val="256E44BA"/>
    <w:lvl w:ilvl="0" w:tplc="1EE8F69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B6BAF"/>
    <w:multiLevelType w:val="singleLevel"/>
    <w:tmpl w:val="C6DC8D40"/>
    <w:lvl w:ilvl="0">
      <w:start w:val="1"/>
      <w:numFmt w:val="lowerLetter"/>
      <w:lvlText w:val="%1)"/>
      <w:lvlJc w:val="left"/>
      <w:pPr>
        <w:tabs>
          <w:tab w:val="num" w:pos="643"/>
        </w:tabs>
        <w:ind w:left="643" w:hanging="360"/>
      </w:pPr>
      <w:rPr>
        <w:rFonts w:hint="default"/>
      </w:rPr>
    </w:lvl>
  </w:abstractNum>
  <w:abstractNum w:abstractNumId="16">
    <w:nsid w:val="70427262"/>
    <w:multiLevelType w:val="hybridMultilevel"/>
    <w:tmpl w:val="F1725BF4"/>
    <w:lvl w:ilvl="0" w:tplc="04090001">
      <w:start w:val="1"/>
      <w:numFmt w:val="bullet"/>
      <w:lvlText w:val=""/>
      <w:lvlJc w:val="left"/>
      <w:pPr>
        <w:ind w:left="45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E782E"/>
    <w:multiLevelType w:val="hybridMultilevel"/>
    <w:tmpl w:val="B78E4996"/>
    <w:lvl w:ilvl="0" w:tplc="1EE8F69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3"/>
  </w:num>
  <w:num w:numId="5">
    <w:abstractNumId w:val="12"/>
  </w:num>
  <w:num w:numId="6">
    <w:abstractNumId w:val="10"/>
  </w:num>
  <w:num w:numId="7">
    <w:abstractNumId w:val="14"/>
  </w:num>
  <w:num w:numId="8">
    <w:abstractNumId w:val="11"/>
  </w:num>
  <w:num w:numId="9">
    <w:abstractNumId w:val="5"/>
  </w:num>
  <w:num w:numId="10">
    <w:abstractNumId w:val="4"/>
  </w:num>
  <w:num w:numId="11">
    <w:abstractNumId w:val="16"/>
  </w:num>
  <w:num w:numId="12">
    <w:abstractNumId w:val="0"/>
  </w:num>
  <w:num w:numId="13">
    <w:abstractNumId w:val="1"/>
  </w:num>
  <w:num w:numId="14">
    <w:abstractNumId w:val="2"/>
  </w:num>
  <w:num w:numId="15">
    <w:abstractNumId w:val="17"/>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3"/>
    <w:rsid w:val="003C429B"/>
    <w:rsid w:val="004A0B69"/>
    <w:rsid w:val="007977D8"/>
    <w:rsid w:val="007B7F93"/>
    <w:rsid w:val="00954521"/>
    <w:rsid w:val="00990740"/>
    <w:rsid w:val="00E41E7F"/>
    <w:rsid w:val="00E47D2A"/>
    <w:rsid w:val="00F11CD6"/>
    <w:rsid w:val="00FC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3"/>
    <w:rPr>
      <w:rFonts w:ascii="Tahoma" w:hAnsi="Tahoma" w:cs="Tahoma"/>
      <w:sz w:val="16"/>
      <w:szCs w:val="16"/>
    </w:rPr>
  </w:style>
  <w:style w:type="paragraph" w:styleId="ListParagraph">
    <w:name w:val="List Paragraph"/>
    <w:basedOn w:val="Normal"/>
    <w:uiPriority w:val="34"/>
    <w:qFormat/>
    <w:rsid w:val="00FC374C"/>
    <w:pPr>
      <w:ind w:left="720"/>
      <w:contextualSpacing/>
    </w:pPr>
  </w:style>
  <w:style w:type="table" w:styleId="TableGrid">
    <w:name w:val="Table Grid"/>
    <w:basedOn w:val="TableNormal"/>
    <w:uiPriority w:val="59"/>
    <w:rsid w:val="0099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0740"/>
    <w:rPr>
      <w:b/>
      <w:bCs/>
    </w:rPr>
  </w:style>
  <w:style w:type="paragraph" w:styleId="EndnoteText">
    <w:name w:val="endnote text"/>
    <w:basedOn w:val="Normal"/>
    <w:link w:val="EndnoteTextChar"/>
    <w:uiPriority w:val="99"/>
    <w:semiHidden/>
    <w:unhideWhenUsed/>
    <w:rsid w:val="00990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740"/>
    <w:rPr>
      <w:sz w:val="20"/>
      <w:szCs w:val="20"/>
    </w:rPr>
  </w:style>
  <w:style w:type="character" w:styleId="EndnoteReference">
    <w:name w:val="endnote reference"/>
    <w:basedOn w:val="DefaultParagraphFont"/>
    <w:uiPriority w:val="99"/>
    <w:semiHidden/>
    <w:unhideWhenUsed/>
    <w:rsid w:val="00990740"/>
    <w:rPr>
      <w:vertAlign w:val="superscript"/>
    </w:rPr>
  </w:style>
  <w:style w:type="paragraph" w:styleId="BodyTextIndent">
    <w:name w:val="Body Text Indent"/>
    <w:basedOn w:val="Normal"/>
    <w:link w:val="BodyTextIndentChar"/>
    <w:rsid w:val="00990740"/>
    <w:pPr>
      <w:widowControl w:val="0"/>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9074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40"/>
  </w:style>
  <w:style w:type="paragraph" w:styleId="Footer">
    <w:name w:val="footer"/>
    <w:basedOn w:val="Normal"/>
    <w:link w:val="FooterChar"/>
    <w:uiPriority w:val="99"/>
    <w:unhideWhenUsed/>
    <w:rsid w:val="0099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40"/>
  </w:style>
  <w:style w:type="character" w:styleId="HTMLCite">
    <w:name w:val="HTML Cite"/>
    <w:basedOn w:val="DefaultParagraphFont"/>
    <w:uiPriority w:val="99"/>
    <w:semiHidden/>
    <w:unhideWhenUsed/>
    <w:rsid w:val="00990740"/>
    <w:rPr>
      <w:i w:val="0"/>
      <w:iCs w:val="0"/>
      <w:color w:val="009030"/>
    </w:rPr>
  </w:style>
  <w:style w:type="character" w:styleId="Hyperlink">
    <w:name w:val="Hyperlink"/>
    <w:basedOn w:val="DefaultParagraphFont"/>
    <w:uiPriority w:val="99"/>
    <w:unhideWhenUsed/>
    <w:rsid w:val="00990740"/>
    <w:rPr>
      <w:color w:val="0000FF" w:themeColor="hyperlink"/>
      <w:u w:val="single"/>
    </w:rPr>
  </w:style>
  <w:style w:type="character" w:customStyle="1" w:styleId="reference-text">
    <w:name w:val="reference-text"/>
    <w:basedOn w:val="DefaultParagraphFont"/>
    <w:rsid w:val="00990740"/>
  </w:style>
  <w:style w:type="paragraph" w:styleId="BodyText">
    <w:name w:val="Body Text"/>
    <w:basedOn w:val="Normal"/>
    <w:link w:val="BodyTextChar"/>
    <w:uiPriority w:val="1"/>
    <w:unhideWhenUsed/>
    <w:qFormat/>
    <w:rsid w:val="00990740"/>
    <w:pPr>
      <w:spacing w:after="120"/>
    </w:pPr>
  </w:style>
  <w:style w:type="character" w:customStyle="1" w:styleId="BodyTextChar">
    <w:name w:val="Body Text Char"/>
    <w:basedOn w:val="DefaultParagraphFont"/>
    <w:link w:val="BodyText"/>
    <w:uiPriority w:val="1"/>
    <w:rsid w:val="00990740"/>
  </w:style>
  <w:style w:type="character" w:styleId="CommentReference">
    <w:name w:val="annotation reference"/>
    <w:basedOn w:val="DefaultParagraphFont"/>
    <w:uiPriority w:val="99"/>
    <w:semiHidden/>
    <w:unhideWhenUsed/>
    <w:rsid w:val="00990740"/>
    <w:rPr>
      <w:sz w:val="18"/>
      <w:szCs w:val="18"/>
    </w:rPr>
  </w:style>
  <w:style w:type="paragraph" w:styleId="CommentText">
    <w:name w:val="annotation text"/>
    <w:basedOn w:val="Normal"/>
    <w:link w:val="CommentTextChar"/>
    <w:uiPriority w:val="99"/>
    <w:semiHidden/>
    <w:unhideWhenUsed/>
    <w:rsid w:val="00990740"/>
    <w:pPr>
      <w:spacing w:line="240" w:lineRule="auto"/>
    </w:pPr>
    <w:rPr>
      <w:sz w:val="24"/>
      <w:szCs w:val="24"/>
    </w:rPr>
  </w:style>
  <w:style w:type="character" w:customStyle="1" w:styleId="CommentTextChar">
    <w:name w:val="Comment Text Char"/>
    <w:basedOn w:val="DefaultParagraphFont"/>
    <w:link w:val="CommentText"/>
    <w:uiPriority w:val="99"/>
    <w:semiHidden/>
    <w:rsid w:val="00990740"/>
    <w:rPr>
      <w:sz w:val="24"/>
      <w:szCs w:val="24"/>
    </w:rPr>
  </w:style>
  <w:style w:type="paragraph" w:styleId="CommentSubject">
    <w:name w:val="annotation subject"/>
    <w:basedOn w:val="CommentText"/>
    <w:next w:val="CommentText"/>
    <w:link w:val="CommentSubjectChar"/>
    <w:uiPriority w:val="99"/>
    <w:semiHidden/>
    <w:unhideWhenUsed/>
    <w:rsid w:val="00990740"/>
    <w:rPr>
      <w:b/>
      <w:bCs/>
      <w:sz w:val="20"/>
      <w:szCs w:val="20"/>
    </w:rPr>
  </w:style>
  <w:style w:type="character" w:customStyle="1" w:styleId="CommentSubjectChar">
    <w:name w:val="Comment Subject Char"/>
    <w:basedOn w:val="CommentTextChar"/>
    <w:link w:val="CommentSubject"/>
    <w:uiPriority w:val="99"/>
    <w:semiHidden/>
    <w:rsid w:val="00990740"/>
    <w:rPr>
      <w:b/>
      <w:bCs/>
      <w:sz w:val="20"/>
      <w:szCs w:val="20"/>
    </w:rPr>
  </w:style>
  <w:style w:type="paragraph" w:styleId="NormalWeb">
    <w:name w:val="Normal (Web)"/>
    <w:basedOn w:val="Normal"/>
    <w:uiPriority w:val="99"/>
    <w:semiHidden/>
    <w:unhideWhenUsed/>
    <w:rsid w:val="00990740"/>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90740"/>
    <w:rPr>
      <w:color w:val="800080" w:themeColor="followedHyperlink"/>
      <w:u w:val="single"/>
    </w:rPr>
  </w:style>
  <w:style w:type="paragraph" w:styleId="Revision">
    <w:name w:val="Revision"/>
    <w:hidden/>
    <w:uiPriority w:val="99"/>
    <w:semiHidden/>
    <w:rsid w:val="00990740"/>
    <w:pPr>
      <w:spacing w:after="0" w:line="240" w:lineRule="auto"/>
    </w:pPr>
  </w:style>
  <w:style w:type="paragraph" w:customStyle="1" w:styleId="Default">
    <w:name w:val="Default"/>
    <w:rsid w:val="00990740"/>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990740"/>
    <w:pPr>
      <w:spacing w:after="100"/>
    </w:pPr>
  </w:style>
  <w:style w:type="paragraph" w:customStyle="1" w:styleId="TableParagraph">
    <w:name w:val="Table Paragraph"/>
    <w:basedOn w:val="Normal"/>
    <w:uiPriority w:val="1"/>
    <w:qFormat/>
    <w:rsid w:val="00990740"/>
    <w:pPr>
      <w:widowControl w:val="0"/>
      <w:spacing w:after="0" w:line="240" w:lineRule="auto"/>
    </w:pPr>
  </w:style>
  <w:style w:type="character" w:styleId="PlaceholderText">
    <w:name w:val="Placeholder Text"/>
    <w:basedOn w:val="DefaultParagraphFont"/>
    <w:uiPriority w:val="99"/>
    <w:semiHidden/>
    <w:rsid w:val="00990740"/>
    <w:rPr>
      <w:color w:val="808080"/>
    </w:rPr>
  </w:style>
  <w:style w:type="numbering" w:customStyle="1" w:styleId="NoList1">
    <w:name w:val="No List1"/>
    <w:next w:val="NoList"/>
    <w:uiPriority w:val="99"/>
    <w:semiHidden/>
    <w:unhideWhenUsed/>
    <w:rsid w:val="00990740"/>
  </w:style>
  <w:style w:type="table" w:customStyle="1" w:styleId="TableGrid1">
    <w:name w:val="Table Grid1"/>
    <w:basedOn w:val="TableNormal"/>
    <w:next w:val="TableGrid"/>
    <w:uiPriority w:val="59"/>
    <w:rsid w:val="0099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90740"/>
  </w:style>
  <w:style w:type="table" w:customStyle="1" w:styleId="TableGrid2">
    <w:name w:val="Table Grid2"/>
    <w:basedOn w:val="TableNormal"/>
    <w:next w:val="TableGrid"/>
    <w:uiPriority w:val="59"/>
    <w:rsid w:val="0099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F11CD6"/>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3"/>
    <w:rPr>
      <w:rFonts w:ascii="Tahoma" w:hAnsi="Tahoma" w:cs="Tahoma"/>
      <w:sz w:val="16"/>
      <w:szCs w:val="16"/>
    </w:rPr>
  </w:style>
  <w:style w:type="paragraph" w:styleId="ListParagraph">
    <w:name w:val="List Paragraph"/>
    <w:basedOn w:val="Normal"/>
    <w:uiPriority w:val="34"/>
    <w:qFormat/>
    <w:rsid w:val="00FC374C"/>
    <w:pPr>
      <w:ind w:left="720"/>
      <w:contextualSpacing/>
    </w:pPr>
  </w:style>
  <w:style w:type="table" w:styleId="TableGrid">
    <w:name w:val="Table Grid"/>
    <w:basedOn w:val="TableNormal"/>
    <w:uiPriority w:val="59"/>
    <w:rsid w:val="0099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0740"/>
    <w:rPr>
      <w:b/>
      <w:bCs/>
    </w:rPr>
  </w:style>
  <w:style w:type="paragraph" w:styleId="EndnoteText">
    <w:name w:val="endnote text"/>
    <w:basedOn w:val="Normal"/>
    <w:link w:val="EndnoteTextChar"/>
    <w:uiPriority w:val="99"/>
    <w:semiHidden/>
    <w:unhideWhenUsed/>
    <w:rsid w:val="009907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740"/>
    <w:rPr>
      <w:sz w:val="20"/>
      <w:szCs w:val="20"/>
    </w:rPr>
  </w:style>
  <w:style w:type="character" w:styleId="EndnoteReference">
    <w:name w:val="endnote reference"/>
    <w:basedOn w:val="DefaultParagraphFont"/>
    <w:uiPriority w:val="99"/>
    <w:semiHidden/>
    <w:unhideWhenUsed/>
    <w:rsid w:val="00990740"/>
    <w:rPr>
      <w:vertAlign w:val="superscript"/>
    </w:rPr>
  </w:style>
  <w:style w:type="paragraph" w:styleId="BodyTextIndent">
    <w:name w:val="Body Text Indent"/>
    <w:basedOn w:val="Normal"/>
    <w:link w:val="BodyTextIndentChar"/>
    <w:rsid w:val="00990740"/>
    <w:pPr>
      <w:widowControl w:val="0"/>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9074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40"/>
  </w:style>
  <w:style w:type="paragraph" w:styleId="Footer">
    <w:name w:val="footer"/>
    <w:basedOn w:val="Normal"/>
    <w:link w:val="FooterChar"/>
    <w:uiPriority w:val="99"/>
    <w:unhideWhenUsed/>
    <w:rsid w:val="0099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40"/>
  </w:style>
  <w:style w:type="character" w:styleId="HTMLCite">
    <w:name w:val="HTML Cite"/>
    <w:basedOn w:val="DefaultParagraphFont"/>
    <w:uiPriority w:val="99"/>
    <w:semiHidden/>
    <w:unhideWhenUsed/>
    <w:rsid w:val="00990740"/>
    <w:rPr>
      <w:i w:val="0"/>
      <w:iCs w:val="0"/>
      <w:color w:val="009030"/>
    </w:rPr>
  </w:style>
  <w:style w:type="character" w:styleId="Hyperlink">
    <w:name w:val="Hyperlink"/>
    <w:basedOn w:val="DefaultParagraphFont"/>
    <w:uiPriority w:val="99"/>
    <w:unhideWhenUsed/>
    <w:rsid w:val="00990740"/>
    <w:rPr>
      <w:color w:val="0000FF" w:themeColor="hyperlink"/>
      <w:u w:val="single"/>
    </w:rPr>
  </w:style>
  <w:style w:type="character" w:customStyle="1" w:styleId="reference-text">
    <w:name w:val="reference-text"/>
    <w:basedOn w:val="DefaultParagraphFont"/>
    <w:rsid w:val="00990740"/>
  </w:style>
  <w:style w:type="paragraph" w:styleId="BodyText">
    <w:name w:val="Body Text"/>
    <w:basedOn w:val="Normal"/>
    <w:link w:val="BodyTextChar"/>
    <w:uiPriority w:val="1"/>
    <w:unhideWhenUsed/>
    <w:qFormat/>
    <w:rsid w:val="00990740"/>
    <w:pPr>
      <w:spacing w:after="120"/>
    </w:pPr>
  </w:style>
  <w:style w:type="character" w:customStyle="1" w:styleId="BodyTextChar">
    <w:name w:val="Body Text Char"/>
    <w:basedOn w:val="DefaultParagraphFont"/>
    <w:link w:val="BodyText"/>
    <w:uiPriority w:val="1"/>
    <w:rsid w:val="00990740"/>
  </w:style>
  <w:style w:type="character" w:styleId="CommentReference">
    <w:name w:val="annotation reference"/>
    <w:basedOn w:val="DefaultParagraphFont"/>
    <w:uiPriority w:val="99"/>
    <w:semiHidden/>
    <w:unhideWhenUsed/>
    <w:rsid w:val="00990740"/>
    <w:rPr>
      <w:sz w:val="18"/>
      <w:szCs w:val="18"/>
    </w:rPr>
  </w:style>
  <w:style w:type="paragraph" w:styleId="CommentText">
    <w:name w:val="annotation text"/>
    <w:basedOn w:val="Normal"/>
    <w:link w:val="CommentTextChar"/>
    <w:uiPriority w:val="99"/>
    <w:semiHidden/>
    <w:unhideWhenUsed/>
    <w:rsid w:val="00990740"/>
    <w:pPr>
      <w:spacing w:line="240" w:lineRule="auto"/>
    </w:pPr>
    <w:rPr>
      <w:sz w:val="24"/>
      <w:szCs w:val="24"/>
    </w:rPr>
  </w:style>
  <w:style w:type="character" w:customStyle="1" w:styleId="CommentTextChar">
    <w:name w:val="Comment Text Char"/>
    <w:basedOn w:val="DefaultParagraphFont"/>
    <w:link w:val="CommentText"/>
    <w:uiPriority w:val="99"/>
    <w:semiHidden/>
    <w:rsid w:val="00990740"/>
    <w:rPr>
      <w:sz w:val="24"/>
      <w:szCs w:val="24"/>
    </w:rPr>
  </w:style>
  <w:style w:type="paragraph" w:styleId="CommentSubject">
    <w:name w:val="annotation subject"/>
    <w:basedOn w:val="CommentText"/>
    <w:next w:val="CommentText"/>
    <w:link w:val="CommentSubjectChar"/>
    <w:uiPriority w:val="99"/>
    <w:semiHidden/>
    <w:unhideWhenUsed/>
    <w:rsid w:val="00990740"/>
    <w:rPr>
      <w:b/>
      <w:bCs/>
      <w:sz w:val="20"/>
      <w:szCs w:val="20"/>
    </w:rPr>
  </w:style>
  <w:style w:type="character" w:customStyle="1" w:styleId="CommentSubjectChar">
    <w:name w:val="Comment Subject Char"/>
    <w:basedOn w:val="CommentTextChar"/>
    <w:link w:val="CommentSubject"/>
    <w:uiPriority w:val="99"/>
    <w:semiHidden/>
    <w:rsid w:val="00990740"/>
    <w:rPr>
      <w:b/>
      <w:bCs/>
      <w:sz w:val="20"/>
      <w:szCs w:val="20"/>
    </w:rPr>
  </w:style>
  <w:style w:type="paragraph" w:styleId="NormalWeb">
    <w:name w:val="Normal (Web)"/>
    <w:basedOn w:val="Normal"/>
    <w:uiPriority w:val="99"/>
    <w:semiHidden/>
    <w:unhideWhenUsed/>
    <w:rsid w:val="00990740"/>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90740"/>
    <w:rPr>
      <w:color w:val="800080" w:themeColor="followedHyperlink"/>
      <w:u w:val="single"/>
    </w:rPr>
  </w:style>
  <w:style w:type="paragraph" w:styleId="Revision">
    <w:name w:val="Revision"/>
    <w:hidden/>
    <w:uiPriority w:val="99"/>
    <w:semiHidden/>
    <w:rsid w:val="00990740"/>
    <w:pPr>
      <w:spacing w:after="0" w:line="240" w:lineRule="auto"/>
    </w:pPr>
  </w:style>
  <w:style w:type="paragraph" w:customStyle="1" w:styleId="Default">
    <w:name w:val="Default"/>
    <w:rsid w:val="00990740"/>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990740"/>
    <w:pPr>
      <w:spacing w:after="100"/>
    </w:pPr>
  </w:style>
  <w:style w:type="paragraph" w:customStyle="1" w:styleId="TableParagraph">
    <w:name w:val="Table Paragraph"/>
    <w:basedOn w:val="Normal"/>
    <w:uiPriority w:val="1"/>
    <w:qFormat/>
    <w:rsid w:val="00990740"/>
    <w:pPr>
      <w:widowControl w:val="0"/>
      <w:spacing w:after="0" w:line="240" w:lineRule="auto"/>
    </w:pPr>
  </w:style>
  <w:style w:type="character" w:styleId="PlaceholderText">
    <w:name w:val="Placeholder Text"/>
    <w:basedOn w:val="DefaultParagraphFont"/>
    <w:uiPriority w:val="99"/>
    <w:semiHidden/>
    <w:rsid w:val="00990740"/>
    <w:rPr>
      <w:color w:val="808080"/>
    </w:rPr>
  </w:style>
  <w:style w:type="numbering" w:customStyle="1" w:styleId="NoList1">
    <w:name w:val="No List1"/>
    <w:next w:val="NoList"/>
    <w:uiPriority w:val="99"/>
    <w:semiHidden/>
    <w:unhideWhenUsed/>
    <w:rsid w:val="00990740"/>
  </w:style>
  <w:style w:type="table" w:customStyle="1" w:styleId="TableGrid1">
    <w:name w:val="Table Grid1"/>
    <w:basedOn w:val="TableNormal"/>
    <w:next w:val="TableGrid"/>
    <w:uiPriority w:val="59"/>
    <w:rsid w:val="0099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90740"/>
  </w:style>
  <w:style w:type="table" w:customStyle="1" w:styleId="TableGrid2">
    <w:name w:val="Table Grid2"/>
    <w:basedOn w:val="TableNormal"/>
    <w:next w:val="TableGrid"/>
    <w:uiPriority w:val="59"/>
    <w:rsid w:val="0099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F11CD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Rhoderick, George C</dc:creator>
  <cp:lastModifiedBy>Rhoderick, George C</cp:lastModifiedBy>
  <cp:revision>2</cp:revision>
  <dcterms:created xsi:type="dcterms:W3CDTF">2015-10-05T15:42:00Z</dcterms:created>
  <dcterms:modified xsi:type="dcterms:W3CDTF">2015-10-05T15:42:00Z</dcterms:modified>
</cp:coreProperties>
</file>