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C0" w:rsidRPr="00EE1519" w:rsidRDefault="00D65EC0" w:rsidP="00D65EC0">
      <w:pPr>
        <w:pStyle w:val="Heading1"/>
      </w:pPr>
      <w:bookmarkStart w:id="0" w:name="_Toc421011393"/>
      <w:r w:rsidRPr="00EE1519">
        <w:t xml:space="preserve">Figure </w:t>
      </w:r>
      <w:r>
        <w:t>S</w:t>
      </w:r>
      <w:r w:rsidRPr="00EE1519">
        <w:t>2</w:t>
      </w:r>
      <w:r>
        <w:t>:</w:t>
      </w:r>
      <w:r w:rsidRPr="00EE1519">
        <w:t xml:space="preserve"> </w:t>
      </w:r>
      <w:r>
        <w:t>Framework</w:t>
      </w:r>
      <w:r w:rsidRPr="00EE1519">
        <w:t xml:space="preserve"> to classify properties according to compliance with </w:t>
      </w:r>
      <w:r>
        <w:t>legal reserve (LR)</w:t>
      </w:r>
      <w:r w:rsidRPr="00EE1519">
        <w:t xml:space="preserve"> requirements</w:t>
      </w:r>
      <w:bookmarkEnd w:id="0"/>
      <w:r>
        <w:t>.</w:t>
      </w:r>
    </w:p>
    <w:p w:rsidR="00D65EC0" w:rsidRDefault="00D65EC0" w:rsidP="00D65EC0">
      <w:pPr>
        <w:keepNext/>
        <w:spacing w:line="360" w:lineRule="auto"/>
        <w:jc w:val="both"/>
      </w:pPr>
      <w:r w:rsidRPr="00EE1519">
        <w:rPr>
          <w:noProof/>
          <w:lang w:val="en-US"/>
        </w:rPr>
        <w:drawing>
          <wp:inline distT="0" distB="0" distL="0" distR="0" wp14:anchorId="2EC1EAB1" wp14:editId="60554AF3">
            <wp:extent cx="5404514" cy="4838131"/>
            <wp:effectExtent l="0" t="0" r="31115"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65EC0" w:rsidRPr="00421635" w:rsidRDefault="00D65EC0" w:rsidP="00D65EC0">
      <w:pPr>
        <w:jc w:val="both"/>
        <w:rPr>
          <w:rFonts w:ascii="Times New Roman" w:hAnsi="Times New Roman" w:cs="Times New Roman"/>
          <w:sz w:val="20"/>
          <w:szCs w:val="20"/>
          <w:lang w:val="en-US"/>
        </w:rPr>
      </w:pPr>
      <w:r w:rsidRPr="00421635">
        <w:rPr>
          <w:rFonts w:ascii="Times New Roman" w:hAnsi="Times New Roman" w:cs="Times New Roman"/>
          <w:sz w:val="20"/>
          <w:szCs w:val="20"/>
          <w:lang w:val="en-US"/>
        </w:rPr>
        <w:t>This figure is a f</w:t>
      </w:r>
      <w:r>
        <w:rPr>
          <w:rFonts w:ascii="Times New Roman" w:hAnsi="Times New Roman" w:cs="Times New Roman"/>
          <w:sz w:val="20"/>
          <w:szCs w:val="20"/>
          <w:lang w:val="en-US"/>
        </w:rPr>
        <w:t xml:space="preserve">lowchart detailing how properties were classified </w:t>
      </w:r>
      <w:r w:rsidRPr="00421635">
        <w:rPr>
          <w:rFonts w:ascii="Times New Roman" w:hAnsi="Times New Roman" w:cs="Times New Roman"/>
          <w:sz w:val="20"/>
          <w:szCs w:val="20"/>
          <w:lang w:val="en-US"/>
        </w:rPr>
        <w:t xml:space="preserve">as compliant or noncompliant according to </w:t>
      </w:r>
      <w:r>
        <w:rPr>
          <w:rFonts w:ascii="Times New Roman" w:hAnsi="Times New Roman" w:cs="Times New Roman"/>
          <w:sz w:val="20"/>
          <w:szCs w:val="20"/>
          <w:lang w:val="en-US"/>
        </w:rPr>
        <w:t xml:space="preserve">Forest Code </w:t>
      </w:r>
      <w:r w:rsidRPr="00421635">
        <w:rPr>
          <w:rFonts w:ascii="Times New Roman" w:hAnsi="Times New Roman" w:cs="Times New Roman"/>
          <w:sz w:val="20"/>
          <w:szCs w:val="20"/>
          <w:lang w:val="en-US"/>
        </w:rPr>
        <w:t xml:space="preserve">legal </w:t>
      </w:r>
      <w:r>
        <w:rPr>
          <w:rFonts w:ascii="Times New Roman" w:hAnsi="Times New Roman" w:cs="Times New Roman"/>
          <w:sz w:val="20"/>
          <w:szCs w:val="20"/>
          <w:lang w:val="en-US"/>
        </w:rPr>
        <w:t>reserve regulations</w:t>
      </w:r>
      <w:r w:rsidRPr="00421635">
        <w:rPr>
          <w:rFonts w:ascii="Times New Roman" w:hAnsi="Times New Roman" w:cs="Times New Roman"/>
          <w:sz w:val="20"/>
          <w:szCs w:val="20"/>
          <w:lang w:val="en-US"/>
        </w:rPr>
        <w:t>, considering the amnesty g</w:t>
      </w:r>
      <w:r>
        <w:rPr>
          <w:rFonts w:ascii="Times New Roman" w:hAnsi="Times New Roman" w:cs="Times New Roman"/>
          <w:sz w:val="20"/>
          <w:szCs w:val="20"/>
          <w:lang w:val="en-US"/>
        </w:rPr>
        <w:t>ranted to small holders (up to four</w:t>
      </w:r>
      <w:r w:rsidRPr="00421635">
        <w:rPr>
          <w:rFonts w:ascii="Times New Roman" w:hAnsi="Times New Roman" w:cs="Times New Roman"/>
          <w:sz w:val="20"/>
          <w:szCs w:val="20"/>
          <w:lang w:val="en-US"/>
        </w:rPr>
        <w:t xml:space="preserve"> fiscal modules) by the current </w:t>
      </w:r>
      <w:r>
        <w:rPr>
          <w:rFonts w:ascii="Times New Roman" w:hAnsi="Times New Roman" w:cs="Times New Roman"/>
          <w:sz w:val="20"/>
          <w:szCs w:val="20"/>
          <w:lang w:val="en-US"/>
        </w:rPr>
        <w:t xml:space="preserve">Forest Code </w:t>
      </w:r>
      <w:r w:rsidRPr="00421635">
        <w:rPr>
          <w:rFonts w:ascii="Times New Roman" w:hAnsi="Times New Roman" w:cs="Times New Roman"/>
          <w:sz w:val="20"/>
          <w:szCs w:val="20"/>
          <w:lang w:val="en-US"/>
        </w:rPr>
        <w:t>version (2012).</w:t>
      </w:r>
    </w:p>
    <w:p w:rsidR="00430FA0" w:rsidRDefault="00430FA0">
      <w:bookmarkStart w:id="1" w:name="_GoBack"/>
      <w:bookmarkEnd w:id="1"/>
    </w:p>
    <w:sectPr w:rsidR="00430FA0" w:rsidSect="000A4C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C0"/>
    <w:rsid w:val="00430FA0"/>
    <w:rsid w:val="00D6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6A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C0"/>
    <w:pPr>
      <w:spacing w:after="200" w:line="276" w:lineRule="auto"/>
    </w:pPr>
    <w:rPr>
      <w:rFonts w:eastAsiaTheme="minorHAnsi"/>
      <w:sz w:val="22"/>
      <w:szCs w:val="22"/>
      <w:lang w:val="pt-BR"/>
    </w:rPr>
  </w:style>
  <w:style w:type="paragraph" w:styleId="Heading1">
    <w:name w:val="heading 1"/>
    <w:basedOn w:val="Normal"/>
    <w:next w:val="Normal"/>
    <w:link w:val="Heading1Char"/>
    <w:uiPriority w:val="9"/>
    <w:qFormat/>
    <w:rsid w:val="00D65EC0"/>
    <w:pPr>
      <w:spacing w:before="240" w:after="0" w:line="360" w:lineRule="auto"/>
      <w:outlineLvl w:val="0"/>
    </w:pPr>
    <w:rPr>
      <w:rFonts w:ascii="Times" w:eastAsia="Cambria" w:hAnsi="Times"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EC0"/>
    <w:rPr>
      <w:rFonts w:ascii="Times" w:eastAsia="Cambria" w:hAnsi="Times" w:cs="Times New Roman"/>
      <w:sz w:val="22"/>
    </w:rPr>
  </w:style>
  <w:style w:type="paragraph" w:styleId="BalloonText">
    <w:name w:val="Balloon Text"/>
    <w:basedOn w:val="Normal"/>
    <w:link w:val="BalloonTextChar"/>
    <w:uiPriority w:val="99"/>
    <w:semiHidden/>
    <w:unhideWhenUsed/>
    <w:rsid w:val="00D65E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EC0"/>
    <w:rPr>
      <w:rFonts w:ascii="Lucida Grande" w:eastAsiaTheme="minorHAnsi" w:hAnsi="Lucida Grande" w:cs="Lucida Grande"/>
      <w:sz w:val="18"/>
      <w:szCs w:val="18"/>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C0"/>
    <w:pPr>
      <w:spacing w:after="200" w:line="276" w:lineRule="auto"/>
    </w:pPr>
    <w:rPr>
      <w:rFonts w:eastAsiaTheme="minorHAnsi"/>
      <w:sz w:val="22"/>
      <w:szCs w:val="22"/>
      <w:lang w:val="pt-BR"/>
    </w:rPr>
  </w:style>
  <w:style w:type="paragraph" w:styleId="Heading1">
    <w:name w:val="heading 1"/>
    <w:basedOn w:val="Normal"/>
    <w:next w:val="Normal"/>
    <w:link w:val="Heading1Char"/>
    <w:uiPriority w:val="9"/>
    <w:qFormat/>
    <w:rsid w:val="00D65EC0"/>
    <w:pPr>
      <w:spacing w:before="240" w:after="0" w:line="360" w:lineRule="auto"/>
      <w:outlineLvl w:val="0"/>
    </w:pPr>
    <w:rPr>
      <w:rFonts w:ascii="Times" w:eastAsia="Cambria" w:hAnsi="Times"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EC0"/>
    <w:rPr>
      <w:rFonts w:ascii="Times" w:eastAsia="Cambria" w:hAnsi="Times" w:cs="Times New Roman"/>
      <w:sz w:val="22"/>
    </w:rPr>
  </w:style>
  <w:style w:type="paragraph" w:styleId="BalloonText">
    <w:name w:val="Balloon Text"/>
    <w:basedOn w:val="Normal"/>
    <w:link w:val="BalloonTextChar"/>
    <w:uiPriority w:val="99"/>
    <w:semiHidden/>
    <w:unhideWhenUsed/>
    <w:rsid w:val="00D65E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EC0"/>
    <w:rPr>
      <w:rFonts w:ascii="Lucida Grande" w:eastAsiaTheme="minorHAnsi" w:hAnsi="Lucida Grande" w:cs="Lucida Grande"/>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93A98B-623D-40E7-822A-5D093159C90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pt-BR"/>
        </a:p>
      </dgm:t>
    </dgm:pt>
    <dgm:pt modelId="{5192853C-4958-470C-8D57-CF50E14F599E}">
      <dgm:prSet phldrT="[Texto]" custT="1"/>
      <dgm:spPr/>
      <dgm:t>
        <a:bodyPr/>
        <a:lstStyle/>
        <a:p>
          <a:r>
            <a:rPr lang="pt-BR" sz="1000">
              <a:latin typeface="Times New Roman" panose="02020603050405020304" pitchFamily="18" charset="0"/>
              <a:cs typeface="Times New Roman" panose="02020603050405020304" pitchFamily="18" charset="0"/>
            </a:rPr>
            <a:t>1: Farms with LR assets (can still deforest legally or issue CRA) - Compliant</a:t>
          </a:r>
        </a:p>
      </dgm:t>
    </dgm:pt>
    <dgm:pt modelId="{9EF9BD40-6009-47B1-A511-A7726CD702D3}" type="parTrans" cxnId="{205C6E79-F10D-4E80-B453-E4C07E35B21D}">
      <dgm:prSet/>
      <dgm:spPr/>
      <dgm:t>
        <a:bodyPr/>
        <a:lstStyle/>
        <a:p>
          <a:endParaRPr lang="pt-BR" sz="1000">
            <a:latin typeface="Times New Roman" panose="02020603050405020304" pitchFamily="18" charset="0"/>
            <a:cs typeface="Times New Roman" panose="02020603050405020304" pitchFamily="18" charset="0"/>
          </a:endParaRPr>
        </a:p>
      </dgm:t>
    </dgm:pt>
    <dgm:pt modelId="{3BA2593D-F8C2-4C25-A150-3916CF70541B}" type="sibTrans" cxnId="{205C6E79-F10D-4E80-B453-E4C07E35B21D}">
      <dgm:prSet/>
      <dgm:spPr/>
      <dgm:t>
        <a:bodyPr/>
        <a:lstStyle/>
        <a:p>
          <a:endParaRPr lang="pt-BR" sz="1000">
            <a:latin typeface="Times New Roman" panose="02020603050405020304" pitchFamily="18" charset="0"/>
            <a:cs typeface="Times New Roman" panose="02020603050405020304" pitchFamily="18" charset="0"/>
          </a:endParaRPr>
        </a:p>
      </dgm:t>
    </dgm:pt>
    <dgm:pt modelId="{DC61ACD5-77B9-45EB-94A4-26CF72918255}">
      <dgm:prSet phldrT="[Texto]" custT="1"/>
      <dgm:spPr/>
      <dgm:t>
        <a:bodyPr/>
        <a:lstStyle/>
        <a:p>
          <a:r>
            <a:rPr lang="pt-BR" sz="1000">
              <a:latin typeface="Times New Roman" panose="02020603050405020304" pitchFamily="18" charset="0"/>
              <a:cs typeface="Times New Roman" panose="02020603050405020304" pitchFamily="18" charset="0"/>
            </a:rPr>
            <a:t>Small farms (up to four fiscal modules) that have LR ≥ 80% of original forestlands (Amazon) or LR ≥ 35% of native Cerrado (Cerrado);</a:t>
          </a:r>
        </a:p>
      </dgm:t>
    </dgm:pt>
    <dgm:pt modelId="{5B2DE8CB-5691-405B-9AAE-70C59FB79B4C}" type="parTrans" cxnId="{696C4D78-DB29-4506-92AB-807B69F92DFE}">
      <dgm:prSet/>
      <dgm:spPr/>
      <dgm:t>
        <a:bodyPr/>
        <a:lstStyle/>
        <a:p>
          <a:endParaRPr lang="pt-BR" sz="1000">
            <a:latin typeface="Times New Roman" panose="02020603050405020304" pitchFamily="18" charset="0"/>
            <a:cs typeface="Times New Roman" panose="02020603050405020304" pitchFamily="18" charset="0"/>
          </a:endParaRPr>
        </a:p>
      </dgm:t>
    </dgm:pt>
    <dgm:pt modelId="{3EE1698C-1087-41BE-B3AC-460EE5509170}" type="sibTrans" cxnId="{696C4D78-DB29-4506-92AB-807B69F92DFE}">
      <dgm:prSet/>
      <dgm:spPr/>
      <dgm:t>
        <a:bodyPr/>
        <a:lstStyle/>
        <a:p>
          <a:endParaRPr lang="pt-BR" sz="1000">
            <a:latin typeface="Times New Roman" panose="02020603050405020304" pitchFamily="18" charset="0"/>
            <a:cs typeface="Times New Roman" panose="02020603050405020304" pitchFamily="18" charset="0"/>
          </a:endParaRPr>
        </a:p>
      </dgm:t>
    </dgm:pt>
    <dgm:pt modelId="{9C3C82EF-CC2E-422F-A7CB-CD7458363F48}">
      <dgm:prSet phldrT="[Texto]" custT="1"/>
      <dgm:spPr/>
      <dgm:t>
        <a:bodyPr/>
        <a:lstStyle/>
        <a:p>
          <a:r>
            <a:rPr lang="pt-BR" sz="1000">
              <a:latin typeface="Times New Roman" panose="02020603050405020304" pitchFamily="18" charset="0"/>
              <a:cs typeface="Times New Roman" panose="02020603050405020304" pitchFamily="18" charset="0"/>
            </a:rPr>
            <a:t>2: Farms that were granted amnesty and have not deforested since 2008 - Compliant</a:t>
          </a:r>
        </a:p>
      </dgm:t>
    </dgm:pt>
    <dgm:pt modelId="{3CEFB3A7-A0C6-4DC7-845A-FAE87F227743}" type="parTrans" cxnId="{8453AF26-A7FB-4D9A-920D-11E5D03ABF38}">
      <dgm:prSet/>
      <dgm:spPr/>
      <dgm:t>
        <a:bodyPr/>
        <a:lstStyle/>
        <a:p>
          <a:endParaRPr lang="pt-BR" sz="1000">
            <a:latin typeface="Times New Roman" panose="02020603050405020304" pitchFamily="18" charset="0"/>
            <a:cs typeface="Times New Roman" panose="02020603050405020304" pitchFamily="18" charset="0"/>
          </a:endParaRPr>
        </a:p>
      </dgm:t>
    </dgm:pt>
    <dgm:pt modelId="{C735447C-E39F-4006-BE48-AEEB3254951E}" type="sibTrans" cxnId="{8453AF26-A7FB-4D9A-920D-11E5D03ABF38}">
      <dgm:prSet/>
      <dgm:spPr/>
      <dgm:t>
        <a:bodyPr/>
        <a:lstStyle/>
        <a:p>
          <a:endParaRPr lang="pt-BR" sz="1000">
            <a:latin typeface="Times New Roman" panose="02020603050405020304" pitchFamily="18" charset="0"/>
            <a:cs typeface="Times New Roman" panose="02020603050405020304" pitchFamily="18" charset="0"/>
          </a:endParaRPr>
        </a:p>
      </dgm:t>
    </dgm:pt>
    <dgm:pt modelId="{CB294087-1DD7-4A89-9996-AD2482B14F22}">
      <dgm:prSet phldrT="[Texto]" custT="1"/>
      <dgm:spPr/>
      <dgm:t>
        <a:bodyPr/>
        <a:lstStyle/>
        <a:p>
          <a:r>
            <a:rPr lang="pt-BR" sz="1000">
              <a:latin typeface="Times New Roman" panose="02020603050405020304" pitchFamily="18" charset="0"/>
              <a:cs typeface="Times New Roman" panose="02020603050405020304" pitchFamily="18" charset="0"/>
            </a:rPr>
            <a:t>Medium (≥ 4 FM and &lt; 15 FM) and large (≥ 15 FM) farms that currently have LR ≥ 80% of original forestlands (Amazon) or LR ≥ 35% of native Cerrado (Cerrado);</a:t>
          </a:r>
        </a:p>
      </dgm:t>
    </dgm:pt>
    <dgm:pt modelId="{A4CC6D97-D6D9-4DFA-853C-82758416ABB1}" type="parTrans" cxnId="{1C670EB4-AD3F-4F00-8423-3B94EEF65B04}">
      <dgm:prSet/>
      <dgm:spPr/>
      <dgm:t>
        <a:bodyPr/>
        <a:lstStyle/>
        <a:p>
          <a:endParaRPr lang="pt-BR" sz="1000">
            <a:latin typeface="Times New Roman" panose="02020603050405020304" pitchFamily="18" charset="0"/>
            <a:cs typeface="Times New Roman" panose="02020603050405020304" pitchFamily="18" charset="0"/>
          </a:endParaRPr>
        </a:p>
      </dgm:t>
    </dgm:pt>
    <dgm:pt modelId="{31AAF203-D848-4C53-806E-27D9D952247A}" type="sibTrans" cxnId="{1C670EB4-AD3F-4F00-8423-3B94EEF65B04}">
      <dgm:prSet/>
      <dgm:spPr/>
      <dgm:t>
        <a:bodyPr/>
        <a:lstStyle/>
        <a:p>
          <a:endParaRPr lang="pt-BR" sz="1000">
            <a:latin typeface="Times New Roman" panose="02020603050405020304" pitchFamily="18" charset="0"/>
            <a:cs typeface="Times New Roman" panose="02020603050405020304" pitchFamily="18" charset="0"/>
          </a:endParaRPr>
        </a:p>
      </dgm:t>
    </dgm:pt>
    <dgm:pt modelId="{1A229BB9-D37A-469F-887C-6CF068FB1DF4}">
      <dgm:prSet phldrT="[Texto]" custT="1"/>
      <dgm:spPr/>
      <dgm:t>
        <a:bodyPr/>
        <a:lstStyle/>
        <a:p>
          <a:r>
            <a:rPr lang="pt-BR" sz="1000">
              <a:latin typeface="Times New Roman" panose="02020603050405020304" pitchFamily="18" charset="0"/>
              <a:cs typeface="Times New Roman" panose="02020603050405020304" pitchFamily="18" charset="0"/>
            </a:rPr>
            <a:t>In these two situations, farms could still deforest legally insofar maintaining 80% LR in the Amazon and 35% in the Cerrado.</a:t>
          </a:r>
        </a:p>
      </dgm:t>
    </dgm:pt>
    <dgm:pt modelId="{168BFC23-28BD-4673-BC34-DCECBF3A7138}" type="parTrans" cxnId="{8F637B2F-41A5-4F09-BEC5-B2A0D9BAA9C8}">
      <dgm:prSet/>
      <dgm:spPr/>
      <dgm:t>
        <a:bodyPr/>
        <a:lstStyle/>
        <a:p>
          <a:endParaRPr lang="pt-BR" sz="1000">
            <a:latin typeface="Times New Roman" panose="02020603050405020304" pitchFamily="18" charset="0"/>
            <a:cs typeface="Times New Roman" panose="02020603050405020304" pitchFamily="18" charset="0"/>
          </a:endParaRPr>
        </a:p>
      </dgm:t>
    </dgm:pt>
    <dgm:pt modelId="{69305AB8-EB2A-4EE8-A953-360F31F186CE}" type="sibTrans" cxnId="{8F637B2F-41A5-4F09-BEC5-B2A0D9BAA9C8}">
      <dgm:prSet/>
      <dgm:spPr/>
      <dgm:t>
        <a:bodyPr/>
        <a:lstStyle/>
        <a:p>
          <a:endParaRPr lang="pt-BR" sz="1000">
            <a:latin typeface="Times New Roman" panose="02020603050405020304" pitchFamily="18" charset="0"/>
            <a:cs typeface="Times New Roman" panose="02020603050405020304" pitchFamily="18" charset="0"/>
          </a:endParaRPr>
        </a:p>
      </dgm:t>
    </dgm:pt>
    <dgm:pt modelId="{A6341F74-8C36-43F2-984B-45B600A4B9AA}">
      <dgm:prSet phldrT="[Texto]" custT="1"/>
      <dgm:spPr/>
      <dgm:t>
        <a:bodyPr/>
        <a:lstStyle/>
        <a:p>
          <a:r>
            <a:rPr lang="pt-BR" sz="1000">
              <a:latin typeface="Times New Roman" panose="02020603050405020304" pitchFamily="18" charset="0"/>
              <a:cs typeface="Times New Roman" panose="02020603050405020304" pitchFamily="18" charset="0"/>
            </a:rPr>
            <a:t>Small farms (&lt; 4 FM) that had LR deficits (LR &lt;80% in the Amazon or LR &lt;35% in the Cerrado) in 2008, but have not deforested after 2008;</a:t>
          </a:r>
        </a:p>
      </dgm:t>
    </dgm:pt>
    <dgm:pt modelId="{8F3EE2C4-6AC8-4829-A1C5-7091442701FD}" type="parTrans" cxnId="{7437C848-EF2C-4CF1-B9BB-1363D2E1066F}">
      <dgm:prSet/>
      <dgm:spPr/>
      <dgm:t>
        <a:bodyPr/>
        <a:lstStyle/>
        <a:p>
          <a:endParaRPr lang="pt-BR" sz="1000">
            <a:latin typeface="Times New Roman" panose="02020603050405020304" pitchFamily="18" charset="0"/>
            <a:cs typeface="Times New Roman" panose="02020603050405020304" pitchFamily="18" charset="0"/>
          </a:endParaRPr>
        </a:p>
      </dgm:t>
    </dgm:pt>
    <dgm:pt modelId="{B7A7E8B3-D983-44FB-8FAA-9B9BE59B9062}" type="sibTrans" cxnId="{7437C848-EF2C-4CF1-B9BB-1363D2E1066F}">
      <dgm:prSet/>
      <dgm:spPr/>
      <dgm:t>
        <a:bodyPr/>
        <a:lstStyle/>
        <a:p>
          <a:endParaRPr lang="pt-BR" sz="1000">
            <a:latin typeface="Times New Roman" panose="02020603050405020304" pitchFamily="18" charset="0"/>
            <a:cs typeface="Times New Roman" panose="02020603050405020304" pitchFamily="18" charset="0"/>
          </a:endParaRPr>
        </a:p>
      </dgm:t>
    </dgm:pt>
    <dgm:pt modelId="{66E23329-7286-4899-8F25-7499F49ED1DB}">
      <dgm:prSet phldrT="[Texto]" custT="1"/>
      <dgm:spPr/>
      <dgm:t>
        <a:bodyPr/>
        <a:lstStyle/>
        <a:p>
          <a:r>
            <a:rPr lang="pt-BR" sz="1000">
              <a:latin typeface="Times New Roman" panose="02020603050405020304" pitchFamily="18" charset="0"/>
              <a:cs typeface="Times New Roman" panose="02020603050405020304" pitchFamily="18" charset="0"/>
            </a:rPr>
            <a:t>Medium (≥ 4 FM and &lt; 15 FM) and large (≥ 15 FM) farms that had LR ≥ 50% (Amazon) or LR ≥ 20% (Cerrado) in 2001 and have not deforested since 2001;</a:t>
          </a:r>
        </a:p>
      </dgm:t>
    </dgm:pt>
    <dgm:pt modelId="{AB733AB4-7B16-4DEC-BC00-790158C16A0A}" type="parTrans" cxnId="{AA7FDE55-0C51-46C9-958A-33AF6262CDA5}">
      <dgm:prSet/>
      <dgm:spPr/>
      <dgm:t>
        <a:bodyPr/>
        <a:lstStyle/>
        <a:p>
          <a:endParaRPr lang="pt-BR" sz="1000">
            <a:latin typeface="Times New Roman" panose="02020603050405020304" pitchFamily="18" charset="0"/>
            <a:cs typeface="Times New Roman" panose="02020603050405020304" pitchFamily="18" charset="0"/>
          </a:endParaRPr>
        </a:p>
      </dgm:t>
    </dgm:pt>
    <dgm:pt modelId="{D2605287-730B-4C76-BE2E-E14F2AE120EC}" type="sibTrans" cxnId="{AA7FDE55-0C51-46C9-958A-33AF6262CDA5}">
      <dgm:prSet/>
      <dgm:spPr/>
      <dgm:t>
        <a:bodyPr/>
        <a:lstStyle/>
        <a:p>
          <a:endParaRPr lang="pt-BR" sz="1000">
            <a:latin typeface="Times New Roman" panose="02020603050405020304" pitchFamily="18" charset="0"/>
            <a:cs typeface="Times New Roman" panose="02020603050405020304" pitchFamily="18" charset="0"/>
          </a:endParaRPr>
        </a:p>
      </dgm:t>
    </dgm:pt>
    <dgm:pt modelId="{66EB6B8F-7AE0-45DF-A714-19463CC497DC}">
      <dgm:prSet phldrT="[Texto]" custT="1"/>
      <dgm:spPr/>
      <dgm:t>
        <a:bodyPr/>
        <a:lstStyle/>
        <a:p>
          <a:r>
            <a:rPr lang="pt-BR" sz="1000">
              <a:latin typeface="Times New Roman" panose="02020603050405020304" pitchFamily="18" charset="0"/>
              <a:cs typeface="Times New Roman" panose="02020603050405020304" pitchFamily="18" charset="0"/>
            </a:rPr>
            <a:t>In these two situations, land owners cannot deforest any further, but they also do not need to restore or compensate any native forest or Cerrado land. If they incurred any deforestation after 2008 (small farms) or after 2001 (medium or large farms), they are not in this category, and if they incurr any new deforestation they will leave this category to fall into the next category (farms with deficits).</a:t>
          </a:r>
        </a:p>
      </dgm:t>
    </dgm:pt>
    <dgm:pt modelId="{CF91FDB0-D36B-42BE-ACAC-2BB773217714}" type="parTrans" cxnId="{1AC846E8-FCB4-4340-A838-8D6BB16A5181}">
      <dgm:prSet/>
      <dgm:spPr/>
      <dgm:t>
        <a:bodyPr/>
        <a:lstStyle/>
        <a:p>
          <a:endParaRPr lang="pt-BR" sz="1000">
            <a:latin typeface="Times New Roman" panose="02020603050405020304" pitchFamily="18" charset="0"/>
            <a:cs typeface="Times New Roman" panose="02020603050405020304" pitchFamily="18" charset="0"/>
          </a:endParaRPr>
        </a:p>
      </dgm:t>
    </dgm:pt>
    <dgm:pt modelId="{43EE900D-EA11-4AED-A6BD-CB7AEA81FFCC}" type="sibTrans" cxnId="{1AC846E8-FCB4-4340-A838-8D6BB16A5181}">
      <dgm:prSet/>
      <dgm:spPr/>
      <dgm:t>
        <a:bodyPr/>
        <a:lstStyle/>
        <a:p>
          <a:endParaRPr lang="pt-BR" sz="1000">
            <a:latin typeface="Times New Roman" panose="02020603050405020304" pitchFamily="18" charset="0"/>
            <a:cs typeface="Times New Roman" panose="02020603050405020304" pitchFamily="18" charset="0"/>
          </a:endParaRPr>
        </a:p>
      </dgm:t>
    </dgm:pt>
    <dgm:pt modelId="{9750F951-B2F5-443F-BD75-9FAE3D3AE478}">
      <dgm:prSet phldrT="[Texto]" custT="1"/>
      <dgm:spPr/>
      <dgm:t>
        <a:bodyPr/>
        <a:lstStyle/>
        <a:p>
          <a:r>
            <a:rPr lang="pt-BR" sz="1000">
              <a:latin typeface="Times New Roman" panose="02020603050405020304" pitchFamily="18" charset="0"/>
              <a:cs typeface="Times New Roman" panose="02020603050405020304" pitchFamily="18" charset="0"/>
            </a:rPr>
            <a:t>3: Farms with LR deficits (must restore or compensate to become compliant) - Noncompliant</a:t>
          </a:r>
        </a:p>
      </dgm:t>
    </dgm:pt>
    <dgm:pt modelId="{24563385-2DC6-4FEC-B903-6DC36A491D70}" type="parTrans" cxnId="{C4B61963-9C89-49B1-9924-1FE036EF2B9F}">
      <dgm:prSet/>
      <dgm:spPr/>
      <dgm:t>
        <a:bodyPr/>
        <a:lstStyle/>
        <a:p>
          <a:endParaRPr lang="pt-BR" sz="1000">
            <a:latin typeface="Times New Roman" panose="02020603050405020304" pitchFamily="18" charset="0"/>
            <a:cs typeface="Times New Roman" panose="02020603050405020304" pitchFamily="18" charset="0"/>
          </a:endParaRPr>
        </a:p>
      </dgm:t>
    </dgm:pt>
    <dgm:pt modelId="{153B0314-A07D-47A3-9D70-840019E3B14B}" type="sibTrans" cxnId="{C4B61963-9C89-49B1-9924-1FE036EF2B9F}">
      <dgm:prSet/>
      <dgm:spPr/>
      <dgm:t>
        <a:bodyPr/>
        <a:lstStyle/>
        <a:p>
          <a:endParaRPr lang="pt-BR" sz="1000">
            <a:latin typeface="Times New Roman" panose="02020603050405020304" pitchFamily="18" charset="0"/>
            <a:cs typeface="Times New Roman" panose="02020603050405020304" pitchFamily="18" charset="0"/>
          </a:endParaRPr>
        </a:p>
      </dgm:t>
    </dgm:pt>
    <dgm:pt modelId="{4A817364-59B3-4C99-B7FA-483EF972F0C0}">
      <dgm:prSet phldrT="[Texto]" custT="1"/>
      <dgm:spPr/>
      <dgm:t>
        <a:bodyPr/>
        <a:lstStyle/>
        <a:p>
          <a:r>
            <a:rPr lang="pt-BR" sz="1000">
              <a:latin typeface="Times New Roman" panose="02020603050405020304" pitchFamily="18" charset="0"/>
              <a:cs typeface="Times New Roman" panose="02020603050405020304" pitchFamily="18" charset="0"/>
            </a:rPr>
            <a:t>Small farms (up to 4 FM) that had LR &lt; 80% (Amazon) and LR &lt; 35% (Cerrado) in 2008, received amnesty, but deforested after 2008;</a:t>
          </a:r>
        </a:p>
      </dgm:t>
    </dgm:pt>
    <dgm:pt modelId="{35805A73-912F-4C7A-9CF1-3891B3B2F37E}" type="parTrans" cxnId="{484ABC99-2A57-4854-BF3D-296164AFA01C}">
      <dgm:prSet/>
      <dgm:spPr/>
      <dgm:t>
        <a:bodyPr/>
        <a:lstStyle/>
        <a:p>
          <a:endParaRPr lang="pt-BR" sz="1000">
            <a:latin typeface="Times New Roman" panose="02020603050405020304" pitchFamily="18" charset="0"/>
            <a:cs typeface="Times New Roman" panose="02020603050405020304" pitchFamily="18" charset="0"/>
          </a:endParaRPr>
        </a:p>
      </dgm:t>
    </dgm:pt>
    <dgm:pt modelId="{1390F4A6-C6F1-4386-BF97-099A25B4A1F8}" type="sibTrans" cxnId="{484ABC99-2A57-4854-BF3D-296164AFA01C}">
      <dgm:prSet/>
      <dgm:spPr/>
      <dgm:t>
        <a:bodyPr/>
        <a:lstStyle/>
        <a:p>
          <a:endParaRPr lang="pt-BR" sz="1000">
            <a:latin typeface="Times New Roman" panose="02020603050405020304" pitchFamily="18" charset="0"/>
            <a:cs typeface="Times New Roman" panose="02020603050405020304" pitchFamily="18" charset="0"/>
          </a:endParaRPr>
        </a:p>
      </dgm:t>
    </dgm:pt>
    <dgm:pt modelId="{0D2C2A87-6F44-4330-A746-19DA119A612F}">
      <dgm:prSet phldrT="[Texto]" custT="1"/>
      <dgm:spPr/>
      <dgm:t>
        <a:bodyPr/>
        <a:lstStyle/>
        <a:p>
          <a:r>
            <a:rPr lang="pt-BR" sz="1000">
              <a:latin typeface="Times New Roman" panose="02020603050405020304" pitchFamily="18" charset="0"/>
              <a:cs typeface="Times New Roman" panose="02020603050405020304" pitchFamily="18" charset="0"/>
            </a:rPr>
            <a:t>Small farms (up to 4 FM) that had LR ≥ 80% (Amazon) and LR ≥ 35 % (Cerrado) in 2008 (therefore compliant), but deforested beyond their legal limits between 2009-2014, becoming noncompliant;</a:t>
          </a:r>
        </a:p>
      </dgm:t>
    </dgm:pt>
    <dgm:pt modelId="{9ECA0FEC-22D6-4E90-9A75-FF07F95FF6DB}" type="parTrans" cxnId="{1A612D7A-3827-461C-A291-75BE451D4B02}">
      <dgm:prSet/>
      <dgm:spPr/>
      <dgm:t>
        <a:bodyPr/>
        <a:lstStyle/>
        <a:p>
          <a:endParaRPr lang="pt-BR" sz="1000">
            <a:latin typeface="Times New Roman" panose="02020603050405020304" pitchFamily="18" charset="0"/>
            <a:cs typeface="Times New Roman" panose="02020603050405020304" pitchFamily="18" charset="0"/>
          </a:endParaRPr>
        </a:p>
      </dgm:t>
    </dgm:pt>
    <dgm:pt modelId="{E47F1CB8-7C62-400C-ACC7-1F1FAB7C6367}" type="sibTrans" cxnId="{1A612D7A-3827-461C-A291-75BE451D4B02}">
      <dgm:prSet/>
      <dgm:spPr/>
      <dgm:t>
        <a:bodyPr/>
        <a:lstStyle/>
        <a:p>
          <a:endParaRPr lang="pt-BR" sz="1000">
            <a:latin typeface="Times New Roman" panose="02020603050405020304" pitchFamily="18" charset="0"/>
            <a:cs typeface="Times New Roman" panose="02020603050405020304" pitchFamily="18" charset="0"/>
          </a:endParaRPr>
        </a:p>
      </dgm:t>
    </dgm:pt>
    <dgm:pt modelId="{B7252E5F-83C6-4287-AE3F-18A6E47885A9}">
      <dgm:prSet phldrT="[Texto]" custT="1"/>
      <dgm:spPr/>
      <dgm:t>
        <a:bodyPr/>
        <a:lstStyle/>
        <a:p>
          <a:r>
            <a:rPr lang="pt-BR" sz="1000">
              <a:latin typeface="Times New Roman" panose="02020603050405020304" pitchFamily="18" charset="0"/>
              <a:cs typeface="Times New Roman" panose="02020603050405020304" pitchFamily="18" charset="0"/>
            </a:rPr>
            <a:t>Medium (≥ 4 FM &lt; 15 FM) and large (≥ 15 FM) farms that currently have LR &lt; 80% (Amazon) and LR &lt; 35% (Cerrado), except those in category 2.</a:t>
          </a:r>
        </a:p>
      </dgm:t>
    </dgm:pt>
    <dgm:pt modelId="{8FAEF61E-773D-4D09-8288-8244A23C9F47}" type="parTrans" cxnId="{E0AA2E40-F0C5-4680-ACDA-23E7D01EEAB9}">
      <dgm:prSet/>
      <dgm:spPr/>
      <dgm:t>
        <a:bodyPr/>
        <a:lstStyle/>
        <a:p>
          <a:endParaRPr lang="pt-BR" sz="1000">
            <a:latin typeface="Times New Roman" panose="02020603050405020304" pitchFamily="18" charset="0"/>
            <a:cs typeface="Times New Roman" panose="02020603050405020304" pitchFamily="18" charset="0"/>
          </a:endParaRPr>
        </a:p>
      </dgm:t>
    </dgm:pt>
    <dgm:pt modelId="{FA00E238-90BA-4EA6-884B-11803EE3695F}" type="sibTrans" cxnId="{E0AA2E40-F0C5-4680-ACDA-23E7D01EEAB9}">
      <dgm:prSet/>
      <dgm:spPr/>
      <dgm:t>
        <a:bodyPr/>
        <a:lstStyle/>
        <a:p>
          <a:endParaRPr lang="pt-BR" sz="1000">
            <a:latin typeface="Times New Roman" panose="02020603050405020304" pitchFamily="18" charset="0"/>
            <a:cs typeface="Times New Roman" panose="02020603050405020304" pitchFamily="18" charset="0"/>
          </a:endParaRPr>
        </a:p>
      </dgm:t>
    </dgm:pt>
    <dgm:pt modelId="{CB434E62-F6A6-4F47-8BB8-1CE384788970}" type="pres">
      <dgm:prSet presAssocID="{C193A98B-623D-40E7-822A-5D093159C900}" presName="linear" presStyleCnt="0">
        <dgm:presLayoutVars>
          <dgm:dir/>
          <dgm:animLvl val="lvl"/>
          <dgm:resizeHandles val="exact"/>
        </dgm:presLayoutVars>
      </dgm:prSet>
      <dgm:spPr/>
      <dgm:t>
        <a:bodyPr/>
        <a:lstStyle/>
        <a:p>
          <a:endParaRPr lang="pt-BR"/>
        </a:p>
      </dgm:t>
    </dgm:pt>
    <dgm:pt modelId="{48390DD5-5C2C-47C6-8D2B-04EDEA66C20C}" type="pres">
      <dgm:prSet presAssocID="{5192853C-4958-470C-8D57-CF50E14F599E}" presName="parentLin" presStyleCnt="0"/>
      <dgm:spPr/>
    </dgm:pt>
    <dgm:pt modelId="{49E946A6-8EE5-4414-A64D-0DE0A2E425A0}" type="pres">
      <dgm:prSet presAssocID="{5192853C-4958-470C-8D57-CF50E14F599E}" presName="parentLeftMargin" presStyleLbl="node1" presStyleIdx="0" presStyleCnt="3"/>
      <dgm:spPr/>
      <dgm:t>
        <a:bodyPr/>
        <a:lstStyle/>
        <a:p>
          <a:endParaRPr lang="pt-BR"/>
        </a:p>
      </dgm:t>
    </dgm:pt>
    <dgm:pt modelId="{CCC6EFEB-4852-437C-ADAD-29AD7DB88347}" type="pres">
      <dgm:prSet presAssocID="{5192853C-4958-470C-8D57-CF50E14F599E}" presName="parentText" presStyleLbl="node1" presStyleIdx="0" presStyleCnt="3">
        <dgm:presLayoutVars>
          <dgm:chMax val="0"/>
          <dgm:bulletEnabled val="1"/>
        </dgm:presLayoutVars>
      </dgm:prSet>
      <dgm:spPr/>
      <dgm:t>
        <a:bodyPr/>
        <a:lstStyle/>
        <a:p>
          <a:endParaRPr lang="pt-BR"/>
        </a:p>
      </dgm:t>
    </dgm:pt>
    <dgm:pt modelId="{D9A884C1-6858-458F-90E3-9710DB6F84F5}" type="pres">
      <dgm:prSet presAssocID="{5192853C-4958-470C-8D57-CF50E14F599E}" presName="negativeSpace" presStyleCnt="0"/>
      <dgm:spPr/>
    </dgm:pt>
    <dgm:pt modelId="{2249E51D-7495-4055-B907-3C1B68D762E5}" type="pres">
      <dgm:prSet presAssocID="{5192853C-4958-470C-8D57-CF50E14F599E}" presName="childText" presStyleLbl="conFgAcc1" presStyleIdx="0" presStyleCnt="3">
        <dgm:presLayoutVars>
          <dgm:bulletEnabled val="1"/>
        </dgm:presLayoutVars>
      </dgm:prSet>
      <dgm:spPr/>
      <dgm:t>
        <a:bodyPr/>
        <a:lstStyle/>
        <a:p>
          <a:endParaRPr lang="pt-BR"/>
        </a:p>
      </dgm:t>
    </dgm:pt>
    <dgm:pt modelId="{E3BB1CDB-5C31-4D5A-A799-6B0B2060B361}" type="pres">
      <dgm:prSet presAssocID="{3BA2593D-F8C2-4C25-A150-3916CF70541B}" presName="spaceBetweenRectangles" presStyleCnt="0"/>
      <dgm:spPr/>
    </dgm:pt>
    <dgm:pt modelId="{974E7D8F-6D4B-4EF4-A5DC-D351F2B0FDBD}" type="pres">
      <dgm:prSet presAssocID="{9C3C82EF-CC2E-422F-A7CB-CD7458363F48}" presName="parentLin" presStyleCnt="0"/>
      <dgm:spPr/>
    </dgm:pt>
    <dgm:pt modelId="{7DED93A2-54EF-4F64-AB4E-71C27861129F}" type="pres">
      <dgm:prSet presAssocID="{9C3C82EF-CC2E-422F-A7CB-CD7458363F48}" presName="parentLeftMargin" presStyleLbl="node1" presStyleIdx="0" presStyleCnt="3"/>
      <dgm:spPr/>
      <dgm:t>
        <a:bodyPr/>
        <a:lstStyle/>
        <a:p>
          <a:endParaRPr lang="pt-BR"/>
        </a:p>
      </dgm:t>
    </dgm:pt>
    <dgm:pt modelId="{3B0A3182-5B86-404B-A999-FF113EBC8AD7}" type="pres">
      <dgm:prSet presAssocID="{9C3C82EF-CC2E-422F-A7CB-CD7458363F48}" presName="parentText" presStyleLbl="node1" presStyleIdx="1" presStyleCnt="3">
        <dgm:presLayoutVars>
          <dgm:chMax val="0"/>
          <dgm:bulletEnabled val="1"/>
        </dgm:presLayoutVars>
      </dgm:prSet>
      <dgm:spPr/>
      <dgm:t>
        <a:bodyPr/>
        <a:lstStyle/>
        <a:p>
          <a:endParaRPr lang="pt-BR"/>
        </a:p>
      </dgm:t>
    </dgm:pt>
    <dgm:pt modelId="{0B91C84D-C4C1-4855-9E70-830C2B893A96}" type="pres">
      <dgm:prSet presAssocID="{9C3C82EF-CC2E-422F-A7CB-CD7458363F48}" presName="negativeSpace" presStyleCnt="0"/>
      <dgm:spPr/>
    </dgm:pt>
    <dgm:pt modelId="{253E4A12-C406-4B1D-9374-C5D4CFDEB6E3}" type="pres">
      <dgm:prSet presAssocID="{9C3C82EF-CC2E-422F-A7CB-CD7458363F48}" presName="childText" presStyleLbl="conFgAcc1" presStyleIdx="1" presStyleCnt="3">
        <dgm:presLayoutVars>
          <dgm:bulletEnabled val="1"/>
        </dgm:presLayoutVars>
      </dgm:prSet>
      <dgm:spPr/>
      <dgm:t>
        <a:bodyPr/>
        <a:lstStyle/>
        <a:p>
          <a:endParaRPr lang="pt-BR"/>
        </a:p>
      </dgm:t>
    </dgm:pt>
    <dgm:pt modelId="{F7D4BCE6-6580-4239-8980-885A7A7DAF53}" type="pres">
      <dgm:prSet presAssocID="{C735447C-E39F-4006-BE48-AEEB3254951E}" presName="spaceBetweenRectangles" presStyleCnt="0"/>
      <dgm:spPr/>
    </dgm:pt>
    <dgm:pt modelId="{E6FC2666-7093-401E-9661-69BD79FB7DE4}" type="pres">
      <dgm:prSet presAssocID="{9750F951-B2F5-443F-BD75-9FAE3D3AE478}" presName="parentLin" presStyleCnt="0"/>
      <dgm:spPr/>
    </dgm:pt>
    <dgm:pt modelId="{DC7D604A-2B2C-44E3-B588-EE6BBAA2BE4B}" type="pres">
      <dgm:prSet presAssocID="{9750F951-B2F5-443F-BD75-9FAE3D3AE478}" presName="parentLeftMargin" presStyleLbl="node1" presStyleIdx="1" presStyleCnt="3"/>
      <dgm:spPr/>
      <dgm:t>
        <a:bodyPr/>
        <a:lstStyle/>
        <a:p>
          <a:endParaRPr lang="pt-BR"/>
        </a:p>
      </dgm:t>
    </dgm:pt>
    <dgm:pt modelId="{A8D64C7D-D527-424C-B7D5-3999C104ABC2}" type="pres">
      <dgm:prSet presAssocID="{9750F951-B2F5-443F-BD75-9FAE3D3AE478}" presName="parentText" presStyleLbl="node1" presStyleIdx="2" presStyleCnt="3">
        <dgm:presLayoutVars>
          <dgm:chMax val="0"/>
          <dgm:bulletEnabled val="1"/>
        </dgm:presLayoutVars>
      </dgm:prSet>
      <dgm:spPr/>
      <dgm:t>
        <a:bodyPr/>
        <a:lstStyle/>
        <a:p>
          <a:endParaRPr lang="pt-BR"/>
        </a:p>
      </dgm:t>
    </dgm:pt>
    <dgm:pt modelId="{D02E7BF9-7E0E-416A-B2B7-79FF4DC547B4}" type="pres">
      <dgm:prSet presAssocID="{9750F951-B2F5-443F-BD75-9FAE3D3AE478}" presName="negativeSpace" presStyleCnt="0"/>
      <dgm:spPr/>
    </dgm:pt>
    <dgm:pt modelId="{A6FBE8BA-4893-4BEE-9465-22E2347956F8}" type="pres">
      <dgm:prSet presAssocID="{9750F951-B2F5-443F-BD75-9FAE3D3AE478}" presName="childText" presStyleLbl="conFgAcc1" presStyleIdx="2" presStyleCnt="3">
        <dgm:presLayoutVars>
          <dgm:bulletEnabled val="1"/>
        </dgm:presLayoutVars>
      </dgm:prSet>
      <dgm:spPr/>
      <dgm:t>
        <a:bodyPr/>
        <a:lstStyle/>
        <a:p>
          <a:endParaRPr lang="pt-BR"/>
        </a:p>
      </dgm:t>
    </dgm:pt>
  </dgm:ptLst>
  <dgm:cxnLst>
    <dgm:cxn modelId="{8F637B2F-41A5-4F09-BEC5-B2A0D9BAA9C8}" srcId="{5192853C-4958-470C-8D57-CF50E14F599E}" destId="{1A229BB9-D37A-469F-887C-6CF068FB1DF4}" srcOrd="2" destOrd="0" parTransId="{168BFC23-28BD-4673-BC34-DCECBF3A7138}" sibTransId="{69305AB8-EB2A-4EE8-A953-360F31F186CE}"/>
    <dgm:cxn modelId="{8C54A5ED-3086-2F47-B057-C29EB2B218E6}" type="presOf" srcId="{5192853C-4958-470C-8D57-CF50E14F599E}" destId="{CCC6EFEB-4852-437C-ADAD-29AD7DB88347}" srcOrd="1" destOrd="0" presId="urn:microsoft.com/office/officeart/2005/8/layout/list1"/>
    <dgm:cxn modelId="{7437C848-EF2C-4CF1-B9BB-1363D2E1066F}" srcId="{9C3C82EF-CC2E-422F-A7CB-CD7458363F48}" destId="{A6341F74-8C36-43F2-984B-45B600A4B9AA}" srcOrd="0" destOrd="0" parTransId="{8F3EE2C4-6AC8-4829-A1C5-7091442701FD}" sibTransId="{B7A7E8B3-D983-44FB-8FAA-9B9BE59B9062}"/>
    <dgm:cxn modelId="{1C670EB4-AD3F-4F00-8423-3B94EEF65B04}" srcId="{5192853C-4958-470C-8D57-CF50E14F599E}" destId="{CB294087-1DD7-4A89-9996-AD2482B14F22}" srcOrd="1" destOrd="0" parTransId="{A4CC6D97-D6D9-4DFA-853C-82758416ABB1}" sibTransId="{31AAF203-D848-4C53-806E-27D9D952247A}"/>
    <dgm:cxn modelId="{8524D009-621D-7B4D-8031-3CFF58284236}" type="presOf" srcId="{4A817364-59B3-4C99-B7FA-483EF972F0C0}" destId="{A6FBE8BA-4893-4BEE-9465-22E2347956F8}" srcOrd="0" destOrd="0" presId="urn:microsoft.com/office/officeart/2005/8/layout/list1"/>
    <dgm:cxn modelId="{1A612D7A-3827-461C-A291-75BE451D4B02}" srcId="{9750F951-B2F5-443F-BD75-9FAE3D3AE478}" destId="{0D2C2A87-6F44-4330-A746-19DA119A612F}" srcOrd="1" destOrd="0" parTransId="{9ECA0FEC-22D6-4E90-9A75-FF07F95FF6DB}" sibTransId="{E47F1CB8-7C62-400C-ACC7-1F1FAB7C6367}"/>
    <dgm:cxn modelId="{C4B61963-9C89-49B1-9924-1FE036EF2B9F}" srcId="{C193A98B-623D-40E7-822A-5D093159C900}" destId="{9750F951-B2F5-443F-BD75-9FAE3D3AE478}" srcOrd="2" destOrd="0" parTransId="{24563385-2DC6-4FEC-B903-6DC36A491D70}" sibTransId="{153B0314-A07D-47A3-9D70-840019E3B14B}"/>
    <dgm:cxn modelId="{3F56F3DB-44EC-9242-B702-92570B546521}" type="presOf" srcId="{66EB6B8F-7AE0-45DF-A714-19463CC497DC}" destId="{253E4A12-C406-4B1D-9374-C5D4CFDEB6E3}" srcOrd="0" destOrd="2" presId="urn:microsoft.com/office/officeart/2005/8/layout/list1"/>
    <dgm:cxn modelId="{1AC846E8-FCB4-4340-A838-8D6BB16A5181}" srcId="{9C3C82EF-CC2E-422F-A7CB-CD7458363F48}" destId="{66EB6B8F-7AE0-45DF-A714-19463CC497DC}" srcOrd="2" destOrd="0" parTransId="{CF91FDB0-D36B-42BE-ACAC-2BB773217714}" sibTransId="{43EE900D-EA11-4AED-A6BD-CB7AEA81FFCC}"/>
    <dgm:cxn modelId="{205C6E79-F10D-4E80-B453-E4C07E35B21D}" srcId="{C193A98B-623D-40E7-822A-5D093159C900}" destId="{5192853C-4958-470C-8D57-CF50E14F599E}" srcOrd="0" destOrd="0" parTransId="{9EF9BD40-6009-47B1-A511-A7726CD702D3}" sibTransId="{3BA2593D-F8C2-4C25-A150-3916CF70541B}"/>
    <dgm:cxn modelId="{C8FED1BF-7B9E-D14A-9821-0C1F76D682A0}" type="presOf" srcId="{C193A98B-623D-40E7-822A-5D093159C900}" destId="{CB434E62-F6A6-4F47-8BB8-1CE384788970}" srcOrd="0" destOrd="0" presId="urn:microsoft.com/office/officeart/2005/8/layout/list1"/>
    <dgm:cxn modelId="{1D745137-2EC2-F442-B35C-F1382E0EA66F}" type="presOf" srcId="{9750F951-B2F5-443F-BD75-9FAE3D3AE478}" destId="{DC7D604A-2B2C-44E3-B588-EE6BBAA2BE4B}" srcOrd="0" destOrd="0" presId="urn:microsoft.com/office/officeart/2005/8/layout/list1"/>
    <dgm:cxn modelId="{984F7095-B6DF-7649-9C87-9715C1B04C35}" type="presOf" srcId="{9C3C82EF-CC2E-422F-A7CB-CD7458363F48}" destId="{3B0A3182-5B86-404B-A999-FF113EBC8AD7}" srcOrd="1" destOrd="0" presId="urn:microsoft.com/office/officeart/2005/8/layout/list1"/>
    <dgm:cxn modelId="{20244DE2-AAAB-E648-A8CB-3893577C596E}" type="presOf" srcId="{1A229BB9-D37A-469F-887C-6CF068FB1DF4}" destId="{2249E51D-7495-4055-B907-3C1B68D762E5}" srcOrd="0" destOrd="2" presId="urn:microsoft.com/office/officeart/2005/8/layout/list1"/>
    <dgm:cxn modelId="{42055397-CBBE-9C40-9E60-9E56B5E1C00C}" type="presOf" srcId="{DC61ACD5-77B9-45EB-94A4-26CF72918255}" destId="{2249E51D-7495-4055-B907-3C1B68D762E5}" srcOrd="0" destOrd="0" presId="urn:microsoft.com/office/officeart/2005/8/layout/list1"/>
    <dgm:cxn modelId="{D37482B6-4273-A14F-BE12-833E97E69FD6}" type="presOf" srcId="{CB294087-1DD7-4A89-9996-AD2482B14F22}" destId="{2249E51D-7495-4055-B907-3C1B68D762E5}" srcOrd="0" destOrd="1" presId="urn:microsoft.com/office/officeart/2005/8/layout/list1"/>
    <dgm:cxn modelId="{5268F800-F53E-4040-AFFE-5115B54869BB}" type="presOf" srcId="{9C3C82EF-CC2E-422F-A7CB-CD7458363F48}" destId="{7DED93A2-54EF-4F64-AB4E-71C27861129F}" srcOrd="0" destOrd="0" presId="urn:microsoft.com/office/officeart/2005/8/layout/list1"/>
    <dgm:cxn modelId="{46141C2B-B2DF-1C47-8C3F-441B00BD8A56}" type="presOf" srcId="{A6341F74-8C36-43F2-984B-45B600A4B9AA}" destId="{253E4A12-C406-4B1D-9374-C5D4CFDEB6E3}" srcOrd="0" destOrd="0" presId="urn:microsoft.com/office/officeart/2005/8/layout/list1"/>
    <dgm:cxn modelId="{12660E96-787F-D54F-8A28-182E4C3B8718}" type="presOf" srcId="{0D2C2A87-6F44-4330-A746-19DA119A612F}" destId="{A6FBE8BA-4893-4BEE-9465-22E2347956F8}" srcOrd="0" destOrd="1" presId="urn:microsoft.com/office/officeart/2005/8/layout/list1"/>
    <dgm:cxn modelId="{32408F69-73EC-6C4E-B796-C21850B8ADF9}" type="presOf" srcId="{5192853C-4958-470C-8D57-CF50E14F599E}" destId="{49E946A6-8EE5-4414-A64D-0DE0A2E425A0}" srcOrd="0" destOrd="0" presId="urn:microsoft.com/office/officeart/2005/8/layout/list1"/>
    <dgm:cxn modelId="{696C4D78-DB29-4506-92AB-807B69F92DFE}" srcId="{5192853C-4958-470C-8D57-CF50E14F599E}" destId="{DC61ACD5-77B9-45EB-94A4-26CF72918255}" srcOrd="0" destOrd="0" parTransId="{5B2DE8CB-5691-405B-9AAE-70C59FB79B4C}" sibTransId="{3EE1698C-1087-41BE-B3AC-460EE5509170}"/>
    <dgm:cxn modelId="{EE6D9DFF-04ED-1344-AAC2-51BAC7E09284}" type="presOf" srcId="{66E23329-7286-4899-8F25-7499F49ED1DB}" destId="{253E4A12-C406-4B1D-9374-C5D4CFDEB6E3}" srcOrd="0" destOrd="1" presId="urn:microsoft.com/office/officeart/2005/8/layout/list1"/>
    <dgm:cxn modelId="{A391C172-DE13-964F-9094-B7442CA5971F}" type="presOf" srcId="{9750F951-B2F5-443F-BD75-9FAE3D3AE478}" destId="{A8D64C7D-D527-424C-B7D5-3999C104ABC2}" srcOrd="1" destOrd="0" presId="urn:microsoft.com/office/officeart/2005/8/layout/list1"/>
    <dgm:cxn modelId="{8453AF26-A7FB-4D9A-920D-11E5D03ABF38}" srcId="{C193A98B-623D-40E7-822A-5D093159C900}" destId="{9C3C82EF-CC2E-422F-A7CB-CD7458363F48}" srcOrd="1" destOrd="0" parTransId="{3CEFB3A7-A0C6-4DC7-845A-FAE87F227743}" sibTransId="{C735447C-E39F-4006-BE48-AEEB3254951E}"/>
    <dgm:cxn modelId="{AA7FDE55-0C51-46C9-958A-33AF6262CDA5}" srcId="{9C3C82EF-CC2E-422F-A7CB-CD7458363F48}" destId="{66E23329-7286-4899-8F25-7499F49ED1DB}" srcOrd="1" destOrd="0" parTransId="{AB733AB4-7B16-4DEC-BC00-790158C16A0A}" sibTransId="{D2605287-730B-4C76-BE2E-E14F2AE120EC}"/>
    <dgm:cxn modelId="{E0AA2E40-F0C5-4680-ACDA-23E7D01EEAB9}" srcId="{9750F951-B2F5-443F-BD75-9FAE3D3AE478}" destId="{B7252E5F-83C6-4287-AE3F-18A6E47885A9}" srcOrd="2" destOrd="0" parTransId="{8FAEF61E-773D-4D09-8288-8244A23C9F47}" sibTransId="{FA00E238-90BA-4EA6-884B-11803EE3695F}"/>
    <dgm:cxn modelId="{484ABC99-2A57-4854-BF3D-296164AFA01C}" srcId="{9750F951-B2F5-443F-BD75-9FAE3D3AE478}" destId="{4A817364-59B3-4C99-B7FA-483EF972F0C0}" srcOrd="0" destOrd="0" parTransId="{35805A73-912F-4C7A-9CF1-3891B3B2F37E}" sibTransId="{1390F4A6-C6F1-4386-BF97-099A25B4A1F8}"/>
    <dgm:cxn modelId="{4FAE311C-DF51-D643-BB28-9349D41DAF31}" type="presOf" srcId="{B7252E5F-83C6-4287-AE3F-18A6E47885A9}" destId="{A6FBE8BA-4893-4BEE-9465-22E2347956F8}" srcOrd="0" destOrd="2" presId="urn:microsoft.com/office/officeart/2005/8/layout/list1"/>
    <dgm:cxn modelId="{9909FD87-20C2-2944-AD16-E15D3B66CD2E}" type="presParOf" srcId="{CB434E62-F6A6-4F47-8BB8-1CE384788970}" destId="{48390DD5-5C2C-47C6-8D2B-04EDEA66C20C}" srcOrd="0" destOrd="0" presId="urn:microsoft.com/office/officeart/2005/8/layout/list1"/>
    <dgm:cxn modelId="{F32B010C-D239-C34F-B875-AB883E27AC24}" type="presParOf" srcId="{48390DD5-5C2C-47C6-8D2B-04EDEA66C20C}" destId="{49E946A6-8EE5-4414-A64D-0DE0A2E425A0}" srcOrd="0" destOrd="0" presId="urn:microsoft.com/office/officeart/2005/8/layout/list1"/>
    <dgm:cxn modelId="{7C336198-A1BE-D24D-82A6-567F10117B77}" type="presParOf" srcId="{48390DD5-5C2C-47C6-8D2B-04EDEA66C20C}" destId="{CCC6EFEB-4852-437C-ADAD-29AD7DB88347}" srcOrd="1" destOrd="0" presId="urn:microsoft.com/office/officeart/2005/8/layout/list1"/>
    <dgm:cxn modelId="{E03CAAE9-8FDC-734A-B304-A744C705C38F}" type="presParOf" srcId="{CB434E62-F6A6-4F47-8BB8-1CE384788970}" destId="{D9A884C1-6858-458F-90E3-9710DB6F84F5}" srcOrd="1" destOrd="0" presId="urn:microsoft.com/office/officeart/2005/8/layout/list1"/>
    <dgm:cxn modelId="{DA3F2602-F9D3-494F-93A5-3E4C08F68AA3}" type="presParOf" srcId="{CB434E62-F6A6-4F47-8BB8-1CE384788970}" destId="{2249E51D-7495-4055-B907-3C1B68D762E5}" srcOrd="2" destOrd="0" presId="urn:microsoft.com/office/officeart/2005/8/layout/list1"/>
    <dgm:cxn modelId="{2FDE8E07-C2BB-5248-BDD0-43CC523A6375}" type="presParOf" srcId="{CB434E62-F6A6-4F47-8BB8-1CE384788970}" destId="{E3BB1CDB-5C31-4D5A-A799-6B0B2060B361}" srcOrd="3" destOrd="0" presId="urn:microsoft.com/office/officeart/2005/8/layout/list1"/>
    <dgm:cxn modelId="{8617A7AF-2FC1-9140-A508-F296F99D2AB6}" type="presParOf" srcId="{CB434E62-F6A6-4F47-8BB8-1CE384788970}" destId="{974E7D8F-6D4B-4EF4-A5DC-D351F2B0FDBD}" srcOrd="4" destOrd="0" presId="urn:microsoft.com/office/officeart/2005/8/layout/list1"/>
    <dgm:cxn modelId="{70864F74-A4AE-6A42-AD29-C12A5825D13A}" type="presParOf" srcId="{974E7D8F-6D4B-4EF4-A5DC-D351F2B0FDBD}" destId="{7DED93A2-54EF-4F64-AB4E-71C27861129F}" srcOrd="0" destOrd="0" presId="urn:microsoft.com/office/officeart/2005/8/layout/list1"/>
    <dgm:cxn modelId="{CCEF190E-28C4-3442-AA57-2508F00FB43B}" type="presParOf" srcId="{974E7D8F-6D4B-4EF4-A5DC-D351F2B0FDBD}" destId="{3B0A3182-5B86-404B-A999-FF113EBC8AD7}" srcOrd="1" destOrd="0" presId="urn:microsoft.com/office/officeart/2005/8/layout/list1"/>
    <dgm:cxn modelId="{3A556869-B0A9-C746-B371-827626B671C0}" type="presParOf" srcId="{CB434E62-F6A6-4F47-8BB8-1CE384788970}" destId="{0B91C84D-C4C1-4855-9E70-830C2B893A96}" srcOrd="5" destOrd="0" presId="urn:microsoft.com/office/officeart/2005/8/layout/list1"/>
    <dgm:cxn modelId="{77421705-1442-A143-8598-58EF39218446}" type="presParOf" srcId="{CB434E62-F6A6-4F47-8BB8-1CE384788970}" destId="{253E4A12-C406-4B1D-9374-C5D4CFDEB6E3}" srcOrd="6" destOrd="0" presId="urn:microsoft.com/office/officeart/2005/8/layout/list1"/>
    <dgm:cxn modelId="{C8A87712-E370-B04B-929E-625F78E69683}" type="presParOf" srcId="{CB434E62-F6A6-4F47-8BB8-1CE384788970}" destId="{F7D4BCE6-6580-4239-8980-885A7A7DAF53}" srcOrd="7" destOrd="0" presId="urn:microsoft.com/office/officeart/2005/8/layout/list1"/>
    <dgm:cxn modelId="{51DB0129-A09E-CD46-9A5A-9B2A8B53CCD2}" type="presParOf" srcId="{CB434E62-F6A6-4F47-8BB8-1CE384788970}" destId="{E6FC2666-7093-401E-9661-69BD79FB7DE4}" srcOrd="8" destOrd="0" presId="urn:microsoft.com/office/officeart/2005/8/layout/list1"/>
    <dgm:cxn modelId="{B29B775A-B374-4347-8F0C-33ECE4994CF2}" type="presParOf" srcId="{E6FC2666-7093-401E-9661-69BD79FB7DE4}" destId="{DC7D604A-2B2C-44E3-B588-EE6BBAA2BE4B}" srcOrd="0" destOrd="0" presId="urn:microsoft.com/office/officeart/2005/8/layout/list1"/>
    <dgm:cxn modelId="{5EC36B66-7EDE-7947-B909-6099B4651A43}" type="presParOf" srcId="{E6FC2666-7093-401E-9661-69BD79FB7DE4}" destId="{A8D64C7D-D527-424C-B7D5-3999C104ABC2}" srcOrd="1" destOrd="0" presId="urn:microsoft.com/office/officeart/2005/8/layout/list1"/>
    <dgm:cxn modelId="{5DBBF368-65AE-B24F-BD2D-702539389AEF}" type="presParOf" srcId="{CB434E62-F6A6-4F47-8BB8-1CE384788970}" destId="{D02E7BF9-7E0E-416A-B2B7-79FF4DC547B4}" srcOrd="9" destOrd="0" presId="urn:microsoft.com/office/officeart/2005/8/layout/list1"/>
    <dgm:cxn modelId="{57CF0F05-B147-A04D-B557-BA09CBE2E45E}" type="presParOf" srcId="{CB434E62-F6A6-4F47-8BB8-1CE384788970}" destId="{A6FBE8BA-4893-4BEE-9465-22E2347956F8}" srcOrd="10" destOrd="0" presId="urn:microsoft.com/office/officeart/2005/8/layout/lis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49E51D-7495-4055-B907-3C1B68D762E5}">
      <dsp:nvSpPr>
        <dsp:cNvPr id="0" name=""/>
        <dsp:cNvSpPr/>
      </dsp:nvSpPr>
      <dsp:spPr>
        <a:xfrm>
          <a:off x="0" y="234135"/>
          <a:ext cx="5404514" cy="11781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450" tIns="229108" rIns="419450" bIns="71120" numCol="1" spcCol="1270" anchor="t" anchorCtr="0">
          <a:noAutofit/>
        </a:bodyPr>
        <a:lstStyle/>
        <a:p>
          <a:pPr marL="57150" lvl="1" indent="-57150" algn="l" defTabSz="444500">
            <a:lnSpc>
              <a:spcPct val="90000"/>
            </a:lnSpc>
            <a:spcBef>
              <a:spcPct val="0"/>
            </a:spcBef>
            <a:spcAft>
              <a:spcPct val="15000"/>
            </a:spcAft>
            <a:buChar char="••"/>
          </a:pPr>
          <a:r>
            <a:rPr lang="pt-BR" sz="1000" kern="1200">
              <a:latin typeface="Times New Roman" panose="02020603050405020304" pitchFamily="18" charset="0"/>
              <a:cs typeface="Times New Roman" panose="02020603050405020304" pitchFamily="18" charset="0"/>
            </a:rPr>
            <a:t>Small farms (up to four fiscal modules) that have LR ≥ 80% of original forestlands (Amazon) or LR ≥ 35% of native Cerrado (Cerrado);</a:t>
          </a:r>
        </a:p>
        <a:p>
          <a:pPr marL="57150" lvl="1" indent="-57150" algn="l" defTabSz="444500">
            <a:lnSpc>
              <a:spcPct val="90000"/>
            </a:lnSpc>
            <a:spcBef>
              <a:spcPct val="0"/>
            </a:spcBef>
            <a:spcAft>
              <a:spcPct val="15000"/>
            </a:spcAft>
            <a:buChar char="••"/>
          </a:pPr>
          <a:r>
            <a:rPr lang="pt-BR" sz="1000" kern="1200">
              <a:latin typeface="Times New Roman" panose="02020603050405020304" pitchFamily="18" charset="0"/>
              <a:cs typeface="Times New Roman" panose="02020603050405020304" pitchFamily="18" charset="0"/>
            </a:rPr>
            <a:t>Medium (≥ 4 FM and &lt; 15 FM) and large (≥ 15 FM) farms that currently have LR ≥ 80% of original forestlands (Amazon) or LR ≥ 35% of native Cerrado (Cerrado);</a:t>
          </a:r>
        </a:p>
        <a:p>
          <a:pPr marL="57150" lvl="1" indent="-57150" algn="l" defTabSz="444500">
            <a:lnSpc>
              <a:spcPct val="90000"/>
            </a:lnSpc>
            <a:spcBef>
              <a:spcPct val="0"/>
            </a:spcBef>
            <a:spcAft>
              <a:spcPct val="15000"/>
            </a:spcAft>
            <a:buChar char="••"/>
          </a:pPr>
          <a:r>
            <a:rPr lang="pt-BR" sz="1000" kern="1200">
              <a:latin typeface="Times New Roman" panose="02020603050405020304" pitchFamily="18" charset="0"/>
              <a:cs typeface="Times New Roman" panose="02020603050405020304" pitchFamily="18" charset="0"/>
            </a:rPr>
            <a:t>In these two situations, farms could still deforest legally insofar maintaining 80% LR in the Amazon and 35% in the Cerrado.</a:t>
          </a:r>
        </a:p>
      </dsp:txBody>
      <dsp:txXfrm>
        <a:off x="0" y="234135"/>
        <a:ext cx="5404514" cy="1178100"/>
      </dsp:txXfrm>
    </dsp:sp>
    <dsp:sp modelId="{CCC6EFEB-4852-437C-ADAD-29AD7DB88347}">
      <dsp:nvSpPr>
        <dsp:cNvPr id="0" name=""/>
        <dsp:cNvSpPr/>
      </dsp:nvSpPr>
      <dsp:spPr>
        <a:xfrm>
          <a:off x="270225" y="71775"/>
          <a:ext cx="3783159"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994" tIns="0" rIns="142994" bIns="0" numCol="1" spcCol="1270" anchor="ctr" anchorCtr="0">
          <a:noAutofit/>
        </a:bodyPr>
        <a:lstStyle/>
        <a:p>
          <a:pPr lvl="0" algn="l" defTabSz="444500">
            <a:lnSpc>
              <a:spcPct val="90000"/>
            </a:lnSpc>
            <a:spcBef>
              <a:spcPct val="0"/>
            </a:spcBef>
            <a:spcAft>
              <a:spcPct val="35000"/>
            </a:spcAft>
          </a:pPr>
          <a:r>
            <a:rPr lang="pt-BR" sz="1000" kern="1200">
              <a:latin typeface="Times New Roman" panose="02020603050405020304" pitchFamily="18" charset="0"/>
              <a:cs typeface="Times New Roman" panose="02020603050405020304" pitchFamily="18" charset="0"/>
            </a:rPr>
            <a:t>1: Farms with LR assets (can still deforest legally or issue CRA) - Compliant</a:t>
          </a:r>
        </a:p>
      </dsp:txBody>
      <dsp:txXfrm>
        <a:off x="286077" y="87627"/>
        <a:ext cx="3751455" cy="293016"/>
      </dsp:txXfrm>
    </dsp:sp>
    <dsp:sp modelId="{253E4A12-C406-4B1D-9374-C5D4CFDEB6E3}">
      <dsp:nvSpPr>
        <dsp:cNvPr id="0" name=""/>
        <dsp:cNvSpPr/>
      </dsp:nvSpPr>
      <dsp:spPr>
        <a:xfrm>
          <a:off x="0" y="1633995"/>
          <a:ext cx="5404514" cy="15939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450" tIns="229108" rIns="419450" bIns="71120" numCol="1" spcCol="1270" anchor="t" anchorCtr="0">
          <a:noAutofit/>
        </a:bodyPr>
        <a:lstStyle/>
        <a:p>
          <a:pPr marL="57150" lvl="1" indent="-57150" algn="l" defTabSz="444500">
            <a:lnSpc>
              <a:spcPct val="90000"/>
            </a:lnSpc>
            <a:spcBef>
              <a:spcPct val="0"/>
            </a:spcBef>
            <a:spcAft>
              <a:spcPct val="15000"/>
            </a:spcAft>
            <a:buChar char="••"/>
          </a:pPr>
          <a:r>
            <a:rPr lang="pt-BR" sz="1000" kern="1200">
              <a:latin typeface="Times New Roman" panose="02020603050405020304" pitchFamily="18" charset="0"/>
              <a:cs typeface="Times New Roman" panose="02020603050405020304" pitchFamily="18" charset="0"/>
            </a:rPr>
            <a:t>Small farms (&lt; 4 FM) that had LR deficits (LR &lt;80% in the Amazon or LR &lt;35% in the Cerrado) in 2008, but have not deforested after 2008;</a:t>
          </a:r>
        </a:p>
        <a:p>
          <a:pPr marL="57150" lvl="1" indent="-57150" algn="l" defTabSz="444500">
            <a:lnSpc>
              <a:spcPct val="90000"/>
            </a:lnSpc>
            <a:spcBef>
              <a:spcPct val="0"/>
            </a:spcBef>
            <a:spcAft>
              <a:spcPct val="15000"/>
            </a:spcAft>
            <a:buChar char="••"/>
          </a:pPr>
          <a:r>
            <a:rPr lang="pt-BR" sz="1000" kern="1200">
              <a:latin typeface="Times New Roman" panose="02020603050405020304" pitchFamily="18" charset="0"/>
              <a:cs typeface="Times New Roman" panose="02020603050405020304" pitchFamily="18" charset="0"/>
            </a:rPr>
            <a:t>Medium (≥ 4 FM and &lt; 15 FM) and large (≥ 15 FM) farms that had LR ≥ 50% (Amazon) or LR ≥ 20% (Cerrado) in 2001 and have not deforested since 2001;</a:t>
          </a:r>
        </a:p>
        <a:p>
          <a:pPr marL="57150" lvl="1" indent="-57150" algn="l" defTabSz="444500">
            <a:lnSpc>
              <a:spcPct val="90000"/>
            </a:lnSpc>
            <a:spcBef>
              <a:spcPct val="0"/>
            </a:spcBef>
            <a:spcAft>
              <a:spcPct val="15000"/>
            </a:spcAft>
            <a:buChar char="••"/>
          </a:pPr>
          <a:r>
            <a:rPr lang="pt-BR" sz="1000" kern="1200">
              <a:latin typeface="Times New Roman" panose="02020603050405020304" pitchFamily="18" charset="0"/>
              <a:cs typeface="Times New Roman" panose="02020603050405020304" pitchFamily="18" charset="0"/>
            </a:rPr>
            <a:t>In these two situations, land owners cannot deforest any further, but they also do not need to restore or compensate any native forest or Cerrado land. If they incurred any deforestation after 2008 (small farms) or after 2001 (medium or large farms), they are not in this category, and if they incurr any new deforestation they will leave this category to fall into the next category (farms with deficits).</a:t>
          </a:r>
        </a:p>
      </dsp:txBody>
      <dsp:txXfrm>
        <a:off x="0" y="1633995"/>
        <a:ext cx="5404514" cy="1593900"/>
      </dsp:txXfrm>
    </dsp:sp>
    <dsp:sp modelId="{3B0A3182-5B86-404B-A999-FF113EBC8AD7}">
      <dsp:nvSpPr>
        <dsp:cNvPr id="0" name=""/>
        <dsp:cNvSpPr/>
      </dsp:nvSpPr>
      <dsp:spPr>
        <a:xfrm>
          <a:off x="270225" y="1471635"/>
          <a:ext cx="3783159"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994" tIns="0" rIns="142994" bIns="0" numCol="1" spcCol="1270" anchor="ctr" anchorCtr="0">
          <a:noAutofit/>
        </a:bodyPr>
        <a:lstStyle/>
        <a:p>
          <a:pPr lvl="0" algn="l" defTabSz="444500">
            <a:lnSpc>
              <a:spcPct val="90000"/>
            </a:lnSpc>
            <a:spcBef>
              <a:spcPct val="0"/>
            </a:spcBef>
            <a:spcAft>
              <a:spcPct val="35000"/>
            </a:spcAft>
          </a:pPr>
          <a:r>
            <a:rPr lang="pt-BR" sz="1000" kern="1200">
              <a:latin typeface="Times New Roman" panose="02020603050405020304" pitchFamily="18" charset="0"/>
              <a:cs typeface="Times New Roman" panose="02020603050405020304" pitchFamily="18" charset="0"/>
            </a:rPr>
            <a:t>2: Farms that were granted amnesty and have not deforested since 2008 - Compliant</a:t>
          </a:r>
        </a:p>
      </dsp:txBody>
      <dsp:txXfrm>
        <a:off x="286077" y="1487487"/>
        <a:ext cx="3751455" cy="293016"/>
      </dsp:txXfrm>
    </dsp:sp>
    <dsp:sp modelId="{A6FBE8BA-4893-4BEE-9465-22E2347956F8}">
      <dsp:nvSpPr>
        <dsp:cNvPr id="0" name=""/>
        <dsp:cNvSpPr/>
      </dsp:nvSpPr>
      <dsp:spPr>
        <a:xfrm>
          <a:off x="0" y="3449655"/>
          <a:ext cx="5404514" cy="131669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450" tIns="229108" rIns="419450" bIns="71120" numCol="1" spcCol="1270" anchor="t" anchorCtr="0">
          <a:noAutofit/>
        </a:bodyPr>
        <a:lstStyle/>
        <a:p>
          <a:pPr marL="57150" lvl="1" indent="-57150" algn="l" defTabSz="444500">
            <a:lnSpc>
              <a:spcPct val="90000"/>
            </a:lnSpc>
            <a:spcBef>
              <a:spcPct val="0"/>
            </a:spcBef>
            <a:spcAft>
              <a:spcPct val="15000"/>
            </a:spcAft>
            <a:buChar char="••"/>
          </a:pPr>
          <a:r>
            <a:rPr lang="pt-BR" sz="1000" kern="1200">
              <a:latin typeface="Times New Roman" panose="02020603050405020304" pitchFamily="18" charset="0"/>
              <a:cs typeface="Times New Roman" panose="02020603050405020304" pitchFamily="18" charset="0"/>
            </a:rPr>
            <a:t>Small farms (up to 4 FM) that had LR &lt; 80% (Amazon) and LR &lt; 35% (Cerrado) in 2008, received amnesty, but deforested after 2008;</a:t>
          </a:r>
        </a:p>
        <a:p>
          <a:pPr marL="57150" lvl="1" indent="-57150" algn="l" defTabSz="444500">
            <a:lnSpc>
              <a:spcPct val="90000"/>
            </a:lnSpc>
            <a:spcBef>
              <a:spcPct val="0"/>
            </a:spcBef>
            <a:spcAft>
              <a:spcPct val="15000"/>
            </a:spcAft>
            <a:buChar char="••"/>
          </a:pPr>
          <a:r>
            <a:rPr lang="pt-BR" sz="1000" kern="1200">
              <a:latin typeface="Times New Roman" panose="02020603050405020304" pitchFamily="18" charset="0"/>
              <a:cs typeface="Times New Roman" panose="02020603050405020304" pitchFamily="18" charset="0"/>
            </a:rPr>
            <a:t>Small farms (up to 4 FM) that had LR ≥ 80% (Amazon) and LR ≥ 35 % (Cerrado) in 2008 (therefore compliant), but deforested beyond their legal limits between 2009-2014, becoming noncompliant;</a:t>
          </a:r>
        </a:p>
        <a:p>
          <a:pPr marL="57150" lvl="1" indent="-57150" algn="l" defTabSz="444500">
            <a:lnSpc>
              <a:spcPct val="90000"/>
            </a:lnSpc>
            <a:spcBef>
              <a:spcPct val="0"/>
            </a:spcBef>
            <a:spcAft>
              <a:spcPct val="15000"/>
            </a:spcAft>
            <a:buChar char="••"/>
          </a:pPr>
          <a:r>
            <a:rPr lang="pt-BR" sz="1000" kern="1200">
              <a:latin typeface="Times New Roman" panose="02020603050405020304" pitchFamily="18" charset="0"/>
              <a:cs typeface="Times New Roman" panose="02020603050405020304" pitchFamily="18" charset="0"/>
            </a:rPr>
            <a:t>Medium (≥ 4 FM &lt; 15 FM) and large (≥ 15 FM) farms that currently have LR &lt; 80% (Amazon) and LR &lt; 35% (Cerrado), except those in category 2.</a:t>
          </a:r>
        </a:p>
      </dsp:txBody>
      <dsp:txXfrm>
        <a:off x="0" y="3449655"/>
        <a:ext cx="5404514" cy="1316699"/>
      </dsp:txXfrm>
    </dsp:sp>
    <dsp:sp modelId="{A8D64C7D-D527-424C-B7D5-3999C104ABC2}">
      <dsp:nvSpPr>
        <dsp:cNvPr id="0" name=""/>
        <dsp:cNvSpPr/>
      </dsp:nvSpPr>
      <dsp:spPr>
        <a:xfrm>
          <a:off x="270225" y="3287295"/>
          <a:ext cx="3783159"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994" tIns="0" rIns="142994" bIns="0" numCol="1" spcCol="1270" anchor="ctr" anchorCtr="0">
          <a:noAutofit/>
        </a:bodyPr>
        <a:lstStyle/>
        <a:p>
          <a:pPr lvl="0" algn="l" defTabSz="444500">
            <a:lnSpc>
              <a:spcPct val="90000"/>
            </a:lnSpc>
            <a:spcBef>
              <a:spcPct val="0"/>
            </a:spcBef>
            <a:spcAft>
              <a:spcPct val="35000"/>
            </a:spcAft>
          </a:pPr>
          <a:r>
            <a:rPr lang="pt-BR" sz="1000" kern="1200">
              <a:latin typeface="Times New Roman" panose="02020603050405020304" pitchFamily="18" charset="0"/>
              <a:cs typeface="Times New Roman" panose="02020603050405020304" pitchFamily="18" charset="0"/>
            </a:rPr>
            <a:t>3: Farms with LR deficits (must restore or compensate to become compliant) - Noncompliant</a:t>
          </a:r>
        </a:p>
      </dsp:txBody>
      <dsp:txXfrm>
        <a:off x="286077" y="3303147"/>
        <a:ext cx="3751455"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Macintosh Word</Application>
  <DocSecurity>0</DocSecurity>
  <Lines>2</Lines>
  <Paragraphs>1</Paragraphs>
  <ScaleCrop>false</ScaleCrop>
  <Company>Dartmouth College</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Hladik</dc:creator>
  <cp:keywords/>
  <dc:description/>
  <cp:lastModifiedBy>Liba Hladik</cp:lastModifiedBy>
  <cp:revision>1</cp:revision>
  <dcterms:created xsi:type="dcterms:W3CDTF">2015-10-30T18:04:00Z</dcterms:created>
  <dcterms:modified xsi:type="dcterms:W3CDTF">2015-10-30T18:05:00Z</dcterms:modified>
</cp:coreProperties>
</file>