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3" w:rsidRPr="003A7E64" w:rsidRDefault="00491E43" w:rsidP="00491E43">
      <w:pPr>
        <w:widowControl/>
        <w:jc w:val="left"/>
        <w:outlineLvl w:val="0"/>
        <w:rPr>
          <w:rFonts w:ascii="Times New Roman" w:hAnsi="Times New Roman" w:cs="Times New Roman"/>
          <w:b/>
          <w:sz w:val="22"/>
        </w:rPr>
      </w:pPr>
      <w:r w:rsidRPr="003A7E64">
        <w:rPr>
          <w:rFonts w:ascii="Times New Roman" w:hAnsi="Times New Roman" w:cs="Times New Roman"/>
          <w:b/>
          <w:sz w:val="22"/>
        </w:rPr>
        <w:t>Supporting Information</w:t>
      </w:r>
    </w:p>
    <w:p w:rsidR="00491E43" w:rsidRPr="003A7E64" w:rsidRDefault="00491E43" w:rsidP="00491E43">
      <w:pPr>
        <w:widowControl/>
        <w:jc w:val="left"/>
        <w:rPr>
          <w:rFonts w:ascii="Times New Roman" w:hAnsi="Times New Roman" w:cs="Times New Roman"/>
          <w:b/>
          <w:sz w:val="22"/>
        </w:rPr>
      </w:pPr>
    </w:p>
    <w:p w:rsidR="00491E43" w:rsidRPr="003A7E64" w:rsidRDefault="00491E43" w:rsidP="00491E43">
      <w:pPr>
        <w:pStyle w:val="HTMLPreformatted"/>
        <w:spacing w:line="360" w:lineRule="auto"/>
        <w:outlineLvl w:val="0"/>
        <w:rPr>
          <w:rFonts w:ascii="Times New Roman" w:hAnsi="Times New Roman" w:cs="Times New Roman"/>
          <w:b/>
          <w:sz w:val="22"/>
          <w:szCs w:val="22"/>
        </w:rPr>
      </w:pPr>
      <w:r w:rsidRPr="003A7E64">
        <w:rPr>
          <w:rFonts w:ascii="Times New Roman" w:hAnsi="Times New Roman" w:cs="Times New Roman"/>
          <w:b/>
          <w:sz w:val="22"/>
          <w:szCs w:val="22"/>
        </w:rPr>
        <w:t>Experimental methods</w:t>
      </w:r>
    </w:p>
    <w:p w:rsidR="00491E43" w:rsidRPr="003A7E64" w:rsidRDefault="00491E43" w:rsidP="00491E43">
      <w:pPr>
        <w:pStyle w:val="HTMLPreformatted"/>
        <w:spacing w:line="360" w:lineRule="auto"/>
        <w:rPr>
          <w:rFonts w:ascii="Times New Roman" w:hAnsi="Times New Roman" w:cs="Times New Roman"/>
          <w:b/>
          <w:sz w:val="22"/>
          <w:szCs w:val="22"/>
        </w:rPr>
      </w:pPr>
      <w:r w:rsidRPr="003A7E64">
        <w:rPr>
          <w:rFonts w:ascii="Times New Roman" w:hAnsi="Times New Roman" w:cs="Times New Roman"/>
          <w:sz w:val="22"/>
          <w:szCs w:val="22"/>
          <w:lang w:val="en-GB"/>
        </w:rPr>
        <w:t xml:space="preserve">About 0.5 g of ground sample was digested (95 °C, 1 hour) in a 5 mL </w:t>
      </w:r>
      <w:r w:rsidRPr="003A7E64">
        <w:rPr>
          <w:rFonts w:ascii="Times New Roman" w:eastAsiaTheme="minorEastAsia" w:hAnsi="Times New Roman" w:cs="Times New Roman"/>
          <w:sz w:val="22"/>
          <w:szCs w:val="22"/>
          <w:lang w:val="en-GB"/>
        </w:rPr>
        <w:t xml:space="preserve">aqua </w:t>
      </w:r>
      <w:proofErr w:type="spellStart"/>
      <w:r w:rsidRPr="003A7E64">
        <w:rPr>
          <w:rFonts w:ascii="Times New Roman" w:eastAsiaTheme="minorEastAsia" w:hAnsi="Times New Roman" w:cs="Times New Roman"/>
          <w:sz w:val="22"/>
          <w:szCs w:val="22"/>
          <w:lang w:val="en-GB"/>
        </w:rPr>
        <w:t>regia</w:t>
      </w:r>
      <w:proofErr w:type="spellEnd"/>
      <w:r w:rsidRPr="003A7E64">
        <w:rPr>
          <w:rFonts w:ascii="Times New Roman" w:hAnsi="Times New Roman" w:cs="Times New Roman"/>
          <w:sz w:val="22"/>
          <w:szCs w:val="22"/>
          <w:lang w:val="en-GB"/>
        </w:rPr>
        <w:t xml:space="preserve"> (HCl</w:t>
      </w:r>
      <w:proofErr w:type="gramStart"/>
      <w:r w:rsidRPr="003A7E64">
        <w:rPr>
          <w:rFonts w:ascii="Times New Roman" w:hAnsi="Times New Roman" w:cs="Times New Roman"/>
          <w:sz w:val="22"/>
          <w:szCs w:val="22"/>
          <w:lang w:val="en-GB"/>
        </w:rPr>
        <w:t>:HNO</w:t>
      </w:r>
      <w:r w:rsidRPr="003A7E64">
        <w:rPr>
          <w:rFonts w:ascii="Times New Roman" w:hAnsi="Times New Roman" w:cs="Times New Roman"/>
          <w:sz w:val="22"/>
          <w:szCs w:val="22"/>
          <w:vertAlign w:val="subscript"/>
          <w:lang w:val="en-GB"/>
        </w:rPr>
        <w:t>3</w:t>
      </w:r>
      <w:proofErr w:type="gramEnd"/>
      <w:r w:rsidRPr="003A7E64">
        <w:rPr>
          <w:rFonts w:ascii="Times New Roman" w:hAnsi="Times New Roman" w:cs="Times New Roman"/>
          <w:sz w:val="22"/>
          <w:szCs w:val="22"/>
          <w:lang w:val="en-GB"/>
        </w:rPr>
        <w:t xml:space="preserve"> = 3:1, </w:t>
      </w:r>
      <w:proofErr w:type="spellStart"/>
      <w:r w:rsidRPr="003A7E64">
        <w:rPr>
          <w:rFonts w:ascii="Times New Roman" w:hAnsi="Times New Roman" w:cs="Times New Roman"/>
          <w:sz w:val="22"/>
          <w:szCs w:val="22"/>
          <w:lang w:val="en-GB"/>
        </w:rPr>
        <w:t>v:v</w:t>
      </w:r>
      <w:proofErr w:type="spellEnd"/>
      <w:r w:rsidRPr="003A7E64">
        <w:rPr>
          <w:rFonts w:ascii="Times New Roman" w:hAnsi="Times New Roman" w:cs="Times New Roman"/>
          <w:sz w:val="22"/>
          <w:szCs w:val="22"/>
          <w:lang w:val="en-GB"/>
        </w:rPr>
        <w:t>). Certified reference materials (NIST-2711, n=3; MESS-2, n=3) were prepare</w:t>
      </w:r>
      <w:r>
        <w:rPr>
          <w:rFonts w:ascii="Times New Roman" w:hAnsi="Times New Roman" w:cs="Times New Roman"/>
          <w:sz w:val="22"/>
          <w:szCs w:val="22"/>
          <w:lang w:val="en-GB"/>
        </w:rPr>
        <w:t>d in the same way as the sample</w:t>
      </w:r>
      <w:r w:rsidRPr="003A7E64">
        <w:rPr>
          <w:rFonts w:ascii="Times New Roman" w:hAnsi="Times New Roman" w:cs="Times New Roman"/>
          <w:sz w:val="22"/>
          <w:szCs w:val="22"/>
          <w:lang w:val="en-GB"/>
        </w:rPr>
        <w:t>.</w:t>
      </w:r>
      <w:r w:rsidRPr="003A7E64">
        <w:rPr>
          <w:rFonts w:ascii="Times New Roman" w:eastAsiaTheme="minorEastAsia" w:hAnsi="Times New Roman" w:cs="Times New Roman"/>
          <w:sz w:val="22"/>
          <w:szCs w:val="22"/>
          <w:lang w:val="en-GB"/>
        </w:rPr>
        <w:t xml:space="preserve"> </w:t>
      </w:r>
      <w:r w:rsidRPr="003A7E64">
        <w:rPr>
          <w:rFonts w:ascii="Times New Roman" w:hAnsi="Times New Roman" w:cs="Times New Roman"/>
          <w:sz w:val="22"/>
          <w:szCs w:val="22"/>
          <w:lang w:val="en-GB"/>
        </w:rPr>
        <w:t xml:space="preserve">Based on the measured </w:t>
      </w:r>
      <w:proofErr w:type="spellStart"/>
      <w:r w:rsidRPr="003A7E64">
        <w:rPr>
          <w:rFonts w:ascii="Times New Roman" w:hAnsi="Times New Roman" w:cs="Times New Roman"/>
          <w:sz w:val="22"/>
          <w:szCs w:val="22"/>
          <w:lang w:val="en-GB"/>
        </w:rPr>
        <w:t>THg</w:t>
      </w:r>
      <w:proofErr w:type="spellEnd"/>
      <w:r w:rsidRPr="003A7E64">
        <w:rPr>
          <w:rFonts w:ascii="Times New Roman" w:eastAsiaTheme="minorEastAsia" w:hAnsi="Times New Roman" w:cs="Times New Roman"/>
          <w:sz w:val="22"/>
          <w:szCs w:val="22"/>
          <w:lang w:val="en-GB"/>
        </w:rPr>
        <w:t xml:space="preserve"> </w:t>
      </w:r>
      <w:r>
        <w:rPr>
          <w:rFonts w:ascii="Times New Roman" w:eastAsiaTheme="minorEastAsia" w:hAnsi="Times New Roman" w:cs="Times New Roman" w:hint="eastAsia"/>
          <w:sz w:val="22"/>
          <w:szCs w:val="22"/>
          <w:lang w:val="en-GB"/>
        </w:rPr>
        <w:t>(</w:t>
      </w:r>
      <w:r w:rsidRPr="003A7E64">
        <w:rPr>
          <w:rFonts w:ascii="Times New Roman" w:hAnsi="Times New Roman" w:cs="Times New Roman"/>
          <w:sz w:val="22"/>
          <w:szCs w:val="22"/>
          <w:lang w:val="en-GB"/>
        </w:rPr>
        <w:t>Table S1</w:t>
      </w:r>
      <w:r>
        <w:rPr>
          <w:rFonts w:ascii="Times New Roman" w:eastAsiaTheme="minorEastAsia" w:hAnsi="Times New Roman" w:cs="Times New Roman" w:hint="eastAsia"/>
          <w:sz w:val="22"/>
          <w:szCs w:val="22"/>
          <w:lang w:val="en-GB"/>
        </w:rPr>
        <w:t>)</w:t>
      </w:r>
      <w:r w:rsidRPr="003A7E64">
        <w:rPr>
          <w:rFonts w:ascii="Times New Roman" w:hAnsi="Times New Roman" w:cs="Times New Roman"/>
          <w:sz w:val="22"/>
          <w:szCs w:val="22"/>
          <w:lang w:val="en-GB"/>
        </w:rPr>
        <w:t xml:space="preserve">, the digest solutions were diluted to 0.5 and 1 </w:t>
      </w:r>
      <w:proofErr w:type="spellStart"/>
      <w:r w:rsidRPr="003A7E64">
        <w:rPr>
          <w:rFonts w:ascii="Times New Roman" w:hAnsi="Times New Roman" w:cs="Times New Roman"/>
          <w:sz w:val="22"/>
          <w:szCs w:val="22"/>
          <w:lang w:val="en-GB"/>
        </w:rPr>
        <w:t>ng</w:t>
      </w:r>
      <w:proofErr w:type="spellEnd"/>
      <w:r w:rsidRPr="003A7E64">
        <w:rPr>
          <w:rFonts w:ascii="Times New Roman" w:hAnsi="Times New Roman" w:cs="Times New Roman"/>
          <w:sz w:val="22"/>
          <w:szCs w:val="22"/>
          <w:lang w:val="en-GB"/>
        </w:rPr>
        <w:t xml:space="preserve"> mL</w:t>
      </w:r>
      <w:r w:rsidRPr="003A7E64">
        <w:rPr>
          <w:rFonts w:ascii="Times New Roman" w:hAnsi="Times New Roman" w:cs="Times New Roman"/>
          <w:sz w:val="22"/>
          <w:szCs w:val="22"/>
          <w:vertAlign w:val="superscript"/>
          <w:lang w:val="en-GB"/>
        </w:rPr>
        <w:t>-1</w:t>
      </w:r>
      <w:r w:rsidRPr="003A7E64">
        <w:rPr>
          <w:rFonts w:ascii="Times New Roman" w:hAnsi="Times New Roman" w:cs="Times New Roman"/>
          <w:sz w:val="22"/>
          <w:szCs w:val="22"/>
          <w:lang w:val="en-GB"/>
        </w:rPr>
        <w:t xml:space="preserve"> for most of the samples; </w:t>
      </w:r>
      <w:proofErr w:type="gramStart"/>
      <w:r w:rsidRPr="003A7E64">
        <w:rPr>
          <w:rFonts w:ascii="Times New Roman" w:hAnsi="Times New Roman" w:cs="Times New Roman"/>
          <w:sz w:val="22"/>
          <w:szCs w:val="22"/>
          <w:lang w:val="en-GB"/>
        </w:rPr>
        <w:t>For</w:t>
      </w:r>
      <w:proofErr w:type="gramEnd"/>
      <w:r w:rsidRPr="003A7E64">
        <w:rPr>
          <w:rFonts w:ascii="Times New Roman" w:hAnsi="Times New Roman" w:cs="Times New Roman"/>
          <w:sz w:val="22"/>
          <w:szCs w:val="22"/>
          <w:lang w:val="en-GB"/>
        </w:rPr>
        <w:t xml:space="preserve"> samples </w:t>
      </w:r>
      <w:r w:rsidRPr="003A7E64">
        <w:rPr>
          <w:rFonts w:ascii="Times New Roman" w:hAnsi="Times New Roman" w:cs="Times New Roman"/>
          <w:sz w:val="22"/>
          <w:szCs w:val="22"/>
        </w:rPr>
        <w:t xml:space="preserve">WSV504BSN and WSV549BVM, the digest solutions were diluted to 0.3 </w:t>
      </w:r>
      <w:proofErr w:type="spellStart"/>
      <w:r w:rsidRPr="003A7E64">
        <w:rPr>
          <w:rFonts w:ascii="Times New Roman" w:hAnsi="Times New Roman" w:cs="Times New Roman"/>
          <w:sz w:val="22"/>
          <w:szCs w:val="22"/>
        </w:rPr>
        <w:t>ng</w:t>
      </w:r>
      <w:proofErr w:type="spellEnd"/>
      <w:r w:rsidRPr="003A7E64">
        <w:rPr>
          <w:rFonts w:ascii="Times New Roman" w:hAnsi="Times New Roman" w:cs="Times New Roman"/>
          <w:sz w:val="22"/>
          <w:szCs w:val="22"/>
        </w:rPr>
        <w:t xml:space="preserve"> mL</w:t>
      </w:r>
      <w:r w:rsidRPr="003A7E64">
        <w:rPr>
          <w:rFonts w:ascii="Times New Roman" w:hAnsi="Times New Roman" w:cs="Times New Roman"/>
          <w:sz w:val="22"/>
          <w:szCs w:val="22"/>
          <w:vertAlign w:val="superscript"/>
        </w:rPr>
        <w:t>-1</w:t>
      </w:r>
      <w:r w:rsidRPr="003A7E64">
        <w:rPr>
          <w:rFonts w:ascii="Times New Roman" w:hAnsi="Times New Roman" w:cs="Times New Roman"/>
          <w:sz w:val="22"/>
          <w:szCs w:val="22"/>
        </w:rPr>
        <w:t xml:space="preserve">. </w:t>
      </w:r>
      <w:proofErr w:type="gramStart"/>
      <w:r w:rsidRPr="003A7E64">
        <w:rPr>
          <w:rFonts w:ascii="Times New Roman" w:hAnsi="Times New Roman" w:cs="Times New Roman"/>
          <w:sz w:val="22"/>
          <w:szCs w:val="22"/>
          <w:lang w:val="en-GB"/>
        </w:rPr>
        <w:t xml:space="preserve">NIST SRM 997 </w:t>
      </w:r>
      <w:proofErr w:type="spellStart"/>
      <w:r w:rsidRPr="003A7E64">
        <w:rPr>
          <w:rFonts w:ascii="Times New Roman" w:hAnsi="Times New Roman" w:cs="Times New Roman"/>
          <w:sz w:val="22"/>
          <w:szCs w:val="22"/>
          <w:lang w:val="en-GB"/>
        </w:rPr>
        <w:t>Tl</w:t>
      </w:r>
      <w:proofErr w:type="spellEnd"/>
      <w:r w:rsidRPr="003A7E64">
        <w:rPr>
          <w:rFonts w:ascii="Times New Roman" w:hAnsi="Times New Roman" w:cs="Times New Roman"/>
          <w:sz w:val="22"/>
          <w:szCs w:val="22"/>
          <w:lang w:val="en-GB"/>
        </w:rPr>
        <w:t xml:space="preserve"> standard solutions with </w:t>
      </w:r>
      <w:proofErr w:type="spellStart"/>
      <w:r w:rsidRPr="003A7E64">
        <w:rPr>
          <w:rFonts w:ascii="Times New Roman" w:hAnsi="Times New Roman" w:cs="Times New Roman"/>
          <w:sz w:val="22"/>
          <w:szCs w:val="22"/>
          <w:lang w:val="en-GB"/>
        </w:rPr>
        <w:t>Tl</w:t>
      </w:r>
      <w:proofErr w:type="spellEnd"/>
      <w:r w:rsidRPr="003A7E64">
        <w:rPr>
          <w:rFonts w:ascii="Times New Roman" w:hAnsi="Times New Roman" w:cs="Times New Roman"/>
          <w:sz w:val="22"/>
          <w:szCs w:val="22"/>
          <w:lang w:val="en-GB"/>
        </w:rPr>
        <w:t xml:space="preserve"> concentration of 20 </w:t>
      </w:r>
      <w:proofErr w:type="spellStart"/>
      <w:r w:rsidRPr="003A7E64">
        <w:rPr>
          <w:rFonts w:ascii="Times New Roman" w:hAnsi="Times New Roman" w:cs="Times New Roman"/>
          <w:sz w:val="22"/>
          <w:szCs w:val="22"/>
          <w:lang w:val="en-GB"/>
        </w:rPr>
        <w:t>ng</w:t>
      </w:r>
      <w:proofErr w:type="spellEnd"/>
      <w:r w:rsidRPr="003A7E64">
        <w:rPr>
          <w:rFonts w:ascii="Times New Roman" w:hAnsi="Times New Roman" w:cs="Times New Roman"/>
          <w:sz w:val="22"/>
          <w:szCs w:val="22"/>
          <w:lang w:val="en-GB"/>
        </w:rPr>
        <w:t xml:space="preserve"> g</w:t>
      </w:r>
      <w:r w:rsidRPr="003A7E64">
        <w:rPr>
          <w:rFonts w:ascii="Times New Roman" w:hAnsi="Times New Roman" w:cs="Times New Roman"/>
          <w:sz w:val="22"/>
          <w:szCs w:val="22"/>
          <w:vertAlign w:val="superscript"/>
          <w:lang w:val="en-GB"/>
        </w:rPr>
        <w:t>-1</w:t>
      </w:r>
      <w:r w:rsidRPr="003A7E64">
        <w:rPr>
          <w:rFonts w:ascii="Times New Roman" w:hAnsi="Times New Roman" w:cs="Times New Roman"/>
          <w:sz w:val="22"/>
          <w:szCs w:val="22"/>
          <w:lang w:val="en-GB"/>
        </w:rPr>
        <w:t xml:space="preserve"> were prepared by 0.12M</w:t>
      </w:r>
      <w:r w:rsidRPr="003A7E64">
        <w:rPr>
          <w:rFonts w:ascii="Times New Roman" w:eastAsiaTheme="minorEastAsia" w:hAnsi="Times New Roman" w:cs="Times New Roman"/>
          <w:sz w:val="22"/>
          <w:szCs w:val="22"/>
          <w:lang w:val="en-GB"/>
        </w:rPr>
        <w:t xml:space="preserve"> </w:t>
      </w:r>
      <w:proofErr w:type="spellStart"/>
      <w:r w:rsidRPr="003A7E64">
        <w:rPr>
          <w:rFonts w:ascii="Times New Roman" w:hAnsi="Times New Roman" w:cs="Times New Roman"/>
          <w:sz w:val="22"/>
          <w:szCs w:val="22"/>
          <w:lang w:val="en-GB"/>
        </w:rPr>
        <w:t>HCl</w:t>
      </w:r>
      <w:proofErr w:type="spellEnd"/>
      <w:proofErr w:type="gramEnd"/>
      <w:r w:rsidRPr="003A7E64">
        <w:rPr>
          <w:rFonts w:ascii="Times New Roman" w:hAnsi="Times New Roman" w:cs="Times New Roman"/>
          <w:sz w:val="22"/>
          <w:szCs w:val="22"/>
          <w:lang w:val="en-GB"/>
        </w:rPr>
        <w:t xml:space="preserve">. </w:t>
      </w:r>
      <w:r w:rsidRPr="003A7E64">
        <w:rPr>
          <w:rFonts w:ascii="Times New Roman" w:hAnsi="Times New Roman" w:cs="Times New Roman"/>
          <w:sz w:val="22"/>
          <w:szCs w:val="22"/>
        </w:rPr>
        <w:t>All sample solution</w:t>
      </w:r>
      <w:r>
        <w:rPr>
          <w:rFonts w:ascii="Times New Roman" w:eastAsiaTheme="minorEastAsia" w:hAnsi="Times New Roman" w:cs="Times New Roman" w:hint="eastAsia"/>
          <w:sz w:val="22"/>
          <w:szCs w:val="22"/>
        </w:rPr>
        <w:t>s</w:t>
      </w:r>
      <w:r w:rsidRPr="003A7E64">
        <w:rPr>
          <w:rFonts w:ascii="Times New Roman" w:hAnsi="Times New Roman" w:cs="Times New Roman"/>
          <w:sz w:val="22"/>
          <w:szCs w:val="22"/>
        </w:rPr>
        <w:t xml:space="preserve"> have acid concentration</w:t>
      </w:r>
      <w:r>
        <w:rPr>
          <w:rFonts w:ascii="Times New Roman" w:eastAsiaTheme="minorEastAsia" w:hAnsi="Times New Roman" w:cs="Times New Roman" w:hint="eastAsia"/>
          <w:sz w:val="22"/>
          <w:szCs w:val="22"/>
        </w:rPr>
        <w:t>s</w:t>
      </w:r>
      <w:r w:rsidRPr="003A7E64">
        <w:rPr>
          <w:rFonts w:ascii="Times New Roman" w:hAnsi="Times New Roman" w:cs="Times New Roman"/>
          <w:sz w:val="22"/>
          <w:szCs w:val="22"/>
        </w:rPr>
        <w:t xml:space="preserve"> of &lt; 20%. Duplicate </w:t>
      </w:r>
      <w:r w:rsidRPr="003A7E64">
        <w:rPr>
          <w:rFonts w:ascii="Times New Roman" w:hAnsi="Times New Roman" w:cs="Times New Roman"/>
          <w:sz w:val="22"/>
          <w:szCs w:val="22"/>
          <w:lang w:val="en-GB"/>
        </w:rPr>
        <w:t>UM-</w:t>
      </w:r>
      <w:proofErr w:type="spellStart"/>
      <w:r w:rsidRPr="003A7E64">
        <w:rPr>
          <w:rFonts w:ascii="Times New Roman" w:hAnsi="Times New Roman" w:cs="Times New Roman"/>
          <w:sz w:val="22"/>
          <w:szCs w:val="22"/>
          <w:lang w:val="en-GB"/>
        </w:rPr>
        <w:t>Almadén</w:t>
      </w:r>
      <w:proofErr w:type="spellEnd"/>
      <w:r w:rsidRPr="003A7E64">
        <w:rPr>
          <w:rFonts w:ascii="Times New Roman" w:hAnsi="Times New Roman" w:cs="Times New Roman"/>
          <w:sz w:val="22"/>
          <w:szCs w:val="22"/>
          <w:lang w:val="en-GB"/>
        </w:rPr>
        <w:t xml:space="preserve"> solutions with 10%</w:t>
      </w:r>
      <w:r w:rsidRPr="003A7E64">
        <w:rPr>
          <w:rFonts w:ascii="Times New Roman" w:eastAsiaTheme="minorEastAsia" w:hAnsi="Times New Roman" w:cs="Times New Roman"/>
          <w:sz w:val="22"/>
          <w:szCs w:val="22"/>
          <w:lang w:val="en-GB"/>
        </w:rPr>
        <w:t xml:space="preserve"> </w:t>
      </w:r>
      <w:r w:rsidRPr="003A7E64">
        <w:rPr>
          <w:rFonts w:ascii="Times New Roman" w:hAnsi="Times New Roman" w:cs="Times New Roman"/>
          <w:sz w:val="22"/>
          <w:szCs w:val="22"/>
          <w:lang w:val="en-GB"/>
        </w:rPr>
        <w:t xml:space="preserve">aqua </w:t>
      </w:r>
      <w:proofErr w:type="spellStart"/>
      <w:r w:rsidRPr="003A7E64">
        <w:rPr>
          <w:rFonts w:ascii="Times New Roman" w:hAnsi="Times New Roman" w:cs="Times New Roman"/>
          <w:sz w:val="22"/>
          <w:szCs w:val="22"/>
          <w:lang w:val="en-GB"/>
        </w:rPr>
        <w:t>regia</w:t>
      </w:r>
      <w:proofErr w:type="spellEnd"/>
      <w:r w:rsidRPr="003A7E64">
        <w:rPr>
          <w:rFonts w:ascii="Times New Roman" w:eastAsiaTheme="minorEastAsia" w:hAnsi="Times New Roman" w:cs="Times New Roman"/>
          <w:sz w:val="22"/>
          <w:szCs w:val="22"/>
          <w:lang w:val="en-GB"/>
        </w:rPr>
        <w:t xml:space="preserve"> </w:t>
      </w:r>
      <w:r w:rsidRPr="003A7E64">
        <w:rPr>
          <w:rFonts w:ascii="Times New Roman" w:hAnsi="Times New Roman" w:cs="Times New Roman"/>
          <w:sz w:val="22"/>
          <w:szCs w:val="22"/>
          <w:lang w:val="en-GB"/>
        </w:rPr>
        <w:t xml:space="preserve">were prepared into 0.3 (n=3), 0.5 (n=3) and 1.0 (n=3) </w:t>
      </w:r>
      <w:proofErr w:type="spellStart"/>
      <w:r w:rsidRPr="003A7E64">
        <w:rPr>
          <w:rFonts w:ascii="Times New Roman" w:hAnsi="Times New Roman" w:cs="Times New Roman"/>
          <w:sz w:val="22"/>
          <w:szCs w:val="22"/>
          <w:lang w:val="en-GB"/>
        </w:rPr>
        <w:t>ng</w:t>
      </w:r>
      <w:proofErr w:type="spellEnd"/>
      <w:r w:rsidRPr="003A7E64">
        <w:rPr>
          <w:rFonts w:ascii="Times New Roman" w:hAnsi="Times New Roman" w:cs="Times New Roman"/>
          <w:sz w:val="22"/>
          <w:szCs w:val="22"/>
          <w:lang w:val="en-GB"/>
        </w:rPr>
        <w:t xml:space="preserve"> mL</w:t>
      </w:r>
      <w:r w:rsidRPr="003A7E64">
        <w:rPr>
          <w:rFonts w:ascii="Times New Roman" w:hAnsi="Times New Roman" w:cs="Times New Roman"/>
          <w:sz w:val="22"/>
          <w:szCs w:val="22"/>
          <w:vertAlign w:val="superscript"/>
          <w:lang w:val="en-GB"/>
        </w:rPr>
        <w:t>-1</w:t>
      </w:r>
      <w:r w:rsidRPr="003A7E64">
        <w:rPr>
          <w:rFonts w:ascii="Times New Roman" w:hAnsi="Times New Roman" w:cs="Times New Roman"/>
          <w:sz w:val="22"/>
          <w:szCs w:val="22"/>
          <w:lang w:val="en-GB"/>
        </w:rPr>
        <w:t xml:space="preserve"> Hg, to match the Hg concentration</w:t>
      </w:r>
      <w:r>
        <w:rPr>
          <w:rFonts w:ascii="Times New Roman" w:eastAsiaTheme="minorEastAsia" w:hAnsi="Times New Roman" w:cs="Times New Roman" w:hint="eastAsia"/>
          <w:sz w:val="22"/>
          <w:szCs w:val="22"/>
          <w:lang w:val="en-GB"/>
        </w:rPr>
        <w:t>s</w:t>
      </w:r>
      <w:r w:rsidRPr="003A7E64">
        <w:rPr>
          <w:rFonts w:ascii="Times New Roman" w:hAnsi="Times New Roman" w:cs="Times New Roman"/>
          <w:sz w:val="22"/>
          <w:szCs w:val="22"/>
          <w:lang w:val="en-GB"/>
        </w:rPr>
        <w:t xml:space="preserve"> of the sample solutions. NIST SRM 3133</w:t>
      </w:r>
      <w:r w:rsidRPr="003A7E64">
        <w:rPr>
          <w:rFonts w:ascii="Times New Roman" w:eastAsiaTheme="minorEastAsia" w:hAnsi="Times New Roman" w:cs="Times New Roman"/>
          <w:sz w:val="22"/>
          <w:szCs w:val="22"/>
          <w:lang w:val="en-GB"/>
        </w:rPr>
        <w:t xml:space="preserve"> w</w:t>
      </w:r>
      <w:r>
        <w:rPr>
          <w:rFonts w:ascii="Times New Roman" w:eastAsiaTheme="minorEastAsia" w:hAnsi="Times New Roman" w:cs="Times New Roman" w:hint="eastAsia"/>
          <w:sz w:val="22"/>
          <w:szCs w:val="22"/>
          <w:lang w:val="en-GB"/>
        </w:rPr>
        <w:t>as</w:t>
      </w:r>
      <w:r w:rsidRPr="003A7E64">
        <w:rPr>
          <w:rFonts w:ascii="Times New Roman" w:eastAsiaTheme="minorEastAsia" w:hAnsi="Times New Roman" w:cs="Times New Roman"/>
          <w:sz w:val="22"/>
          <w:szCs w:val="22"/>
          <w:lang w:val="en-GB"/>
        </w:rPr>
        <w:t xml:space="preserve"> prepared in </w:t>
      </w:r>
      <w:r w:rsidRPr="003A7E64">
        <w:rPr>
          <w:rFonts w:ascii="Times New Roman" w:hAnsi="Times New Roman" w:cs="Times New Roman"/>
          <w:sz w:val="22"/>
          <w:szCs w:val="22"/>
          <w:lang w:val="en-GB"/>
        </w:rPr>
        <w:t xml:space="preserve">aqua </w:t>
      </w:r>
      <w:proofErr w:type="spellStart"/>
      <w:r w:rsidRPr="003A7E64">
        <w:rPr>
          <w:rFonts w:ascii="Times New Roman" w:hAnsi="Times New Roman" w:cs="Times New Roman"/>
          <w:sz w:val="22"/>
          <w:szCs w:val="22"/>
          <w:lang w:val="en-GB"/>
        </w:rPr>
        <w:t>regia</w:t>
      </w:r>
      <w:proofErr w:type="spellEnd"/>
      <w:r w:rsidRPr="003A7E64">
        <w:rPr>
          <w:rFonts w:ascii="Times New Roman" w:eastAsiaTheme="minorEastAsia" w:hAnsi="Times New Roman" w:cs="Times New Roman"/>
          <w:sz w:val="22"/>
          <w:szCs w:val="22"/>
          <w:lang w:val="en-GB"/>
        </w:rPr>
        <w:t xml:space="preserve"> </w:t>
      </w:r>
      <w:proofErr w:type="gramStart"/>
      <w:r w:rsidRPr="003A7E64">
        <w:rPr>
          <w:rFonts w:ascii="Times New Roman" w:eastAsiaTheme="minorEastAsia" w:hAnsi="Times New Roman" w:cs="Times New Roman"/>
          <w:sz w:val="22"/>
          <w:szCs w:val="22"/>
          <w:lang w:val="en-GB"/>
        </w:rPr>
        <w:t>solutions,</w:t>
      </w:r>
      <w:proofErr w:type="gramEnd"/>
      <w:r w:rsidRPr="003A7E64">
        <w:rPr>
          <w:rFonts w:ascii="Times New Roman" w:eastAsiaTheme="minorEastAsia" w:hAnsi="Times New Roman" w:cs="Times New Roman"/>
          <w:sz w:val="22"/>
          <w:szCs w:val="22"/>
          <w:lang w:val="en-GB"/>
        </w:rPr>
        <w:t xml:space="preserve"> the</w:t>
      </w:r>
      <w:r w:rsidRPr="003A7E64">
        <w:rPr>
          <w:rFonts w:ascii="Times New Roman" w:hAnsi="Times New Roman" w:cs="Times New Roman"/>
          <w:sz w:val="22"/>
          <w:szCs w:val="22"/>
          <w:lang w:val="en-GB"/>
        </w:rPr>
        <w:t xml:space="preserve"> </w:t>
      </w:r>
      <w:r>
        <w:rPr>
          <w:rFonts w:ascii="Times New Roman" w:eastAsiaTheme="minorEastAsia" w:hAnsi="Times New Roman" w:cs="Times New Roman"/>
          <w:sz w:val="22"/>
          <w:szCs w:val="22"/>
          <w:lang w:val="en-GB"/>
        </w:rPr>
        <w:t>concentration</w:t>
      </w:r>
      <w:r>
        <w:rPr>
          <w:rFonts w:ascii="Times New Roman" w:eastAsiaTheme="minorEastAsia" w:hAnsi="Times New Roman" w:cs="Times New Roman" w:hint="eastAsia"/>
          <w:sz w:val="22"/>
          <w:szCs w:val="22"/>
          <w:lang w:val="en-GB"/>
        </w:rPr>
        <w:t>s</w:t>
      </w:r>
      <w:r w:rsidRPr="003A7E64">
        <w:rPr>
          <w:rFonts w:ascii="Times New Roman" w:eastAsiaTheme="minorEastAsia" w:hAnsi="Times New Roman" w:cs="Times New Roman"/>
          <w:sz w:val="22"/>
          <w:szCs w:val="22"/>
          <w:lang w:val="en-GB"/>
        </w:rPr>
        <w:t xml:space="preserve"> of </w:t>
      </w:r>
      <w:r w:rsidRPr="003A7E64">
        <w:rPr>
          <w:rFonts w:ascii="Times New Roman" w:hAnsi="Times New Roman" w:cs="Times New Roman"/>
          <w:sz w:val="22"/>
          <w:szCs w:val="22"/>
          <w:lang w:val="en-GB"/>
        </w:rPr>
        <w:t xml:space="preserve">Hg and aqua </w:t>
      </w:r>
      <w:proofErr w:type="spellStart"/>
      <w:r w:rsidRPr="003A7E64">
        <w:rPr>
          <w:rFonts w:ascii="Times New Roman" w:hAnsi="Times New Roman" w:cs="Times New Roman"/>
          <w:sz w:val="22"/>
          <w:szCs w:val="22"/>
          <w:lang w:val="en-GB"/>
        </w:rPr>
        <w:t>regia</w:t>
      </w:r>
      <w:proofErr w:type="spellEnd"/>
      <w:r w:rsidRPr="003A7E64">
        <w:rPr>
          <w:rFonts w:ascii="Times New Roman" w:hAnsi="Times New Roman" w:cs="Times New Roman"/>
          <w:sz w:val="22"/>
          <w:szCs w:val="22"/>
          <w:lang w:val="en-GB"/>
        </w:rPr>
        <w:t xml:space="preserve"> w</w:t>
      </w:r>
      <w:r>
        <w:rPr>
          <w:rFonts w:ascii="Times New Roman" w:eastAsiaTheme="minorEastAsia" w:hAnsi="Times New Roman" w:cs="Times New Roman" w:hint="eastAsia"/>
          <w:sz w:val="22"/>
          <w:szCs w:val="22"/>
          <w:lang w:val="en-GB"/>
        </w:rPr>
        <w:t>ere</w:t>
      </w:r>
      <w:r w:rsidRPr="003A7E64">
        <w:rPr>
          <w:rFonts w:ascii="Times New Roman" w:hAnsi="Times New Roman" w:cs="Times New Roman"/>
          <w:sz w:val="22"/>
          <w:szCs w:val="22"/>
          <w:lang w:val="en-GB"/>
        </w:rPr>
        <w:t xml:space="preserve"> adjusted to within 10% of </w:t>
      </w:r>
      <w:r w:rsidRPr="003A7E64">
        <w:rPr>
          <w:rFonts w:ascii="Times New Roman" w:eastAsiaTheme="minorEastAsia" w:hAnsi="Times New Roman" w:cs="Times New Roman"/>
          <w:sz w:val="22"/>
          <w:szCs w:val="22"/>
          <w:lang w:val="en-GB"/>
        </w:rPr>
        <w:t>other</w:t>
      </w:r>
      <w:r w:rsidRPr="003A7E64">
        <w:rPr>
          <w:rFonts w:ascii="Times New Roman" w:hAnsi="Times New Roman" w:cs="Times New Roman"/>
          <w:sz w:val="22"/>
          <w:szCs w:val="22"/>
          <w:lang w:val="en-GB"/>
        </w:rPr>
        <w:t xml:space="preserve"> Hg solutions. SnCl</w:t>
      </w:r>
      <w:r w:rsidRPr="003A7E64">
        <w:rPr>
          <w:rFonts w:ascii="Times New Roman" w:hAnsi="Times New Roman" w:cs="Times New Roman"/>
          <w:sz w:val="22"/>
          <w:szCs w:val="22"/>
          <w:vertAlign w:val="subscript"/>
          <w:lang w:val="en-GB"/>
        </w:rPr>
        <w:t>2</w:t>
      </w:r>
      <w:r w:rsidRPr="003A7E64">
        <w:rPr>
          <w:rFonts w:ascii="Times New Roman" w:hAnsi="Times New Roman" w:cs="Times New Roman"/>
          <w:sz w:val="22"/>
          <w:szCs w:val="22"/>
          <w:lang w:val="en-GB"/>
        </w:rPr>
        <w:t xml:space="preserve"> (3%, </w:t>
      </w:r>
      <w:r w:rsidRPr="003A7E64">
        <w:rPr>
          <w:rFonts w:ascii="Times New Roman" w:hAnsi="Times New Roman" w:cs="Times New Roman"/>
          <w:sz w:val="22"/>
          <w:szCs w:val="22"/>
        </w:rPr>
        <w:t>w/v</w:t>
      </w:r>
      <w:r w:rsidRPr="003A7E64">
        <w:rPr>
          <w:rFonts w:ascii="Times New Roman" w:hAnsi="Times New Roman" w:cs="Times New Roman"/>
          <w:sz w:val="22"/>
          <w:szCs w:val="22"/>
          <w:lang w:val="en-GB"/>
        </w:rPr>
        <w:t>) w</w:t>
      </w:r>
      <w:r>
        <w:rPr>
          <w:rFonts w:ascii="Times New Roman" w:eastAsiaTheme="minorEastAsia" w:hAnsi="Times New Roman" w:cs="Times New Roman" w:hint="eastAsia"/>
          <w:sz w:val="22"/>
          <w:szCs w:val="22"/>
          <w:lang w:val="en-GB"/>
        </w:rPr>
        <w:t>as</w:t>
      </w:r>
      <w:r w:rsidRPr="003A7E64">
        <w:rPr>
          <w:rFonts w:ascii="Times New Roman" w:hAnsi="Times New Roman" w:cs="Times New Roman"/>
          <w:sz w:val="22"/>
          <w:szCs w:val="22"/>
          <w:lang w:val="en-GB"/>
        </w:rPr>
        <w:t xml:space="preserve"> prepared</w:t>
      </w:r>
      <w:r w:rsidRPr="003A7E64">
        <w:rPr>
          <w:rFonts w:ascii="Times New Roman" w:eastAsiaTheme="minorEastAsia" w:hAnsi="Times New Roman" w:cs="Times New Roman"/>
          <w:sz w:val="22"/>
          <w:szCs w:val="22"/>
          <w:lang w:val="en-GB"/>
        </w:rPr>
        <w:t xml:space="preserve"> </w:t>
      </w:r>
      <w:r w:rsidRPr="003A7E64">
        <w:rPr>
          <w:rFonts w:ascii="Times New Roman" w:hAnsi="Times New Roman" w:cs="Times New Roman"/>
          <w:sz w:val="22"/>
          <w:szCs w:val="22"/>
          <w:lang w:val="en-GB"/>
        </w:rPr>
        <w:t>in 10% (v/v)</w:t>
      </w:r>
      <w:r w:rsidRPr="003A7E64">
        <w:rPr>
          <w:rFonts w:ascii="Times New Roman" w:eastAsiaTheme="minorEastAsia" w:hAnsi="Times New Roman" w:cs="Times New Roman"/>
          <w:sz w:val="22"/>
          <w:szCs w:val="22"/>
          <w:lang w:val="en-GB"/>
        </w:rPr>
        <w:t xml:space="preserve"> </w:t>
      </w:r>
      <w:proofErr w:type="spellStart"/>
      <w:r w:rsidRPr="003A7E64">
        <w:rPr>
          <w:rFonts w:ascii="Times New Roman" w:hAnsi="Times New Roman" w:cs="Times New Roman"/>
          <w:sz w:val="22"/>
          <w:szCs w:val="22"/>
          <w:lang w:val="en-GB"/>
        </w:rPr>
        <w:t>HCl</w:t>
      </w:r>
      <w:proofErr w:type="spellEnd"/>
      <w:r w:rsidRPr="003A7E64">
        <w:rPr>
          <w:rFonts w:ascii="Times New Roman" w:hAnsi="Times New Roman" w:cs="Times New Roman"/>
          <w:sz w:val="22"/>
          <w:szCs w:val="22"/>
          <w:lang w:val="en-GB"/>
        </w:rPr>
        <w:t>.</w:t>
      </w:r>
      <w:r w:rsidRPr="003A7E64">
        <w:rPr>
          <w:rFonts w:ascii="Times New Roman" w:eastAsiaTheme="minorEastAsia" w:hAnsi="Times New Roman" w:cs="Times New Roman"/>
          <w:sz w:val="22"/>
          <w:szCs w:val="22"/>
          <w:lang w:val="en-GB"/>
        </w:rPr>
        <w:t xml:space="preserve"> </w:t>
      </w:r>
      <w:r w:rsidRPr="003A7E64">
        <w:rPr>
          <w:rFonts w:ascii="Times New Roman" w:hAnsi="Times New Roman" w:cs="Times New Roman"/>
          <w:sz w:val="22"/>
          <w:szCs w:val="22"/>
        </w:rPr>
        <w:t>Acids (</w:t>
      </w:r>
      <w:proofErr w:type="spellStart"/>
      <w:r w:rsidRPr="003A7E64">
        <w:rPr>
          <w:rFonts w:ascii="Times New Roman" w:hAnsi="Times New Roman" w:cs="Times New Roman"/>
          <w:sz w:val="22"/>
          <w:szCs w:val="22"/>
        </w:rPr>
        <w:t>HCl</w:t>
      </w:r>
      <w:proofErr w:type="spellEnd"/>
      <w:r w:rsidRPr="003A7E64">
        <w:rPr>
          <w:rFonts w:ascii="Times New Roman" w:hAnsi="Times New Roman" w:cs="Times New Roman"/>
          <w:sz w:val="22"/>
          <w:szCs w:val="22"/>
        </w:rPr>
        <w:t xml:space="preserve"> and HNO</w:t>
      </w:r>
      <w:r w:rsidRPr="003A7E64">
        <w:rPr>
          <w:rFonts w:ascii="Times New Roman" w:hAnsi="Times New Roman" w:cs="Times New Roman"/>
          <w:sz w:val="22"/>
          <w:szCs w:val="22"/>
          <w:vertAlign w:val="subscript"/>
        </w:rPr>
        <w:t>3</w:t>
      </w:r>
      <w:r w:rsidRPr="003A7E64">
        <w:rPr>
          <w:rFonts w:ascii="Times New Roman" w:hAnsi="Times New Roman" w:cs="Times New Roman"/>
          <w:sz w:val="22"/>
          <w:szCs w:val="22"/>
        </w:rPr>
        <w:t xml:space="preserve">) used in this study were of </w:t>
      </w:r>
      <w:proofErr w:type="spellStart"/>
      <w:r w:rsidRPr="003A7E64">
        <w:rPr>
          <w:rFonts w:ascii="Times New Roman" w:hAnsi="Times New Roman" w:cs="Times New Roman"/>
          <w:sz w:val="22"/>
          <w:szCs w:val="22"/>
        </w:rPr>
        <w:t>suprapure</w:t>
      </w:r>
      <w:proofErr w:type="spellEnd"/>
      <w:r w:rsidRPr="003A7E64">
        <w:rPr>
          <w:rFonts w:ascii="Times New Roman" w:hAnsi="Times New Roman" w:cs="Times New Roman"/>
          <w:sz w:val="22"/>
          <w:szCs w:val="22"/>
        </w:rPr>
        <w:t xml:space="preserve"> grades (certified ACS Plus, Fisher Scientific). The 18.2-ΩM-grade water used for the preparation of reagents and solutions was provided by a </w:t>
      </w:r>
      <w:proofErr w:type="spellStart"/>
      <w:r w:rsidRPr="003A7E64">
        <w:rPr>
          <w:rFonts w:ascii="Times New Roman" w:hAnsi="Times New Roman" w:cs="Times New Roman"/>
          <w:sz w:val="22"/>
          <w:szCs w:val="22"/>
        </w:rPr>
        <w:t>Milli</w:t>
      </w:r>
      <w:proofErr w:type="spellEnd"/>
      <w:r w:rsidRPr="003A7E64">
        <w:rPr>
          <w:rFonts w:ascii="Times New Roman" w:hAnsi="Times New Roman" w:cs="Times New Roman"/>
          <w:sz w:val="22"/>
          <w:szCs w:val="22"/>
        </w:rPr>
        <w:t>-Q water purification system (Millipore, Bedford, USA).</w:t>
      </w:r>
    </w:p>
    <w:p w:rsidR="00491E43" w:rsidRPr="003A7E64" w:rsidRDefault="00491E43" w:rsidP="00491E43">
      <w:pPr>
        <w:pStyle w:val="HTMLPreformatted"/>
        <w:spacing w:line="360" w:lineRule="auto"/>
        <w:rPr>
          <w:rFonts w:ascii="Times New Roman" w:hAnsi="Times New Roman" w:cs="Times New Roman"/>
          <w:sz w:val="22"/>
          <w:szCs w:val="22"/>
          <w:lang w:val="en-GB"/>
        </w:rPr>
      </w:pPr>
      <w:r w:rsidRPr="003A7E64">
        <w:rPr>
          <w:rFonts w:ascii="Times New Roman" w:hAnsi="Times New Roman" w:cs="Times New Roman"/>
          <w:sz w:val="22"/>
          <w:szCs w:val="22"/>
        </w:rPr>
        <w:t xml:space="preserve">Hg </w:t>
      </w:r>
      <w:r w:rsidRPr="003A7E64">
        <w:rPr>
          <w:rFonts w:ascii="Times New Roman" w:hAnsi="Times New Roman" w:cs="Times New Roman"/>
          <w:sz w:val="22"/>
          <w:szCs w:val="22"/>
          <w:lang w:val="en-GB"/>
        </w:rPr>
        <w:t>isotopic measurement</w:t>
      </w:r>
      <w:r>
        <w:rPr>
          <w:rFonts w:ascii="Times New Roman" w:eastAsiaTheme="minorEastAsia" w:hAnsi="Times New Roman" w:cs="Times New Roman" w:hint="eastAsia"/>
          <w:sz w:val="22"/>
          <w:szCs w:val="22"/>
          <w:lang w:val="en-GB"/>
        </w:rPr>
        <w:t>s</w:t>
      </w:r>
      <w:r w:rsidRPr="003A7E64">
        <w:rPr>
          <w:rFonts w:ascii="Times New Roman" w:hAnsi="Times New Roman" w:cs="Times New Roman"/>
          <w:sz w:val="22"/>
          <w:szCs w:val="22"/>
          <w:lang w:val="en-GB"/>
        </w:rPr>
        <w:t xml:space="preserve"> w</w:t>
      </w:r>
      <w:r>
        <w:rPr>
          <w:rFonts w:ascii="Times New Roman" w:eastAsiaTheme="minorEastAsia" w:hAnsi="Times New Roman" w:cs="Times New Roman" w:hint="eastAsia"/>
          <w:sz w:val="22"/>
          <w:szCs w:val="22"/>
          <w:lang w:val="en-GB"/>
        </w:rPr>
        <w:t>ere</w:t>
      </w:r>
      <w:r w:rsidRPr="003A7E64">
        <w:rPr>
          <w:rFonts w:ascii="Times New Roman" w:hAnsi="Times New Roman" w:cs="Times New Roman"/>
          <w:sz w:val="22"/>
          <w:szCs w:val="22"/>
          <w:lang w:val="en-GB"/>
        </w:rPr>
        <w:t xml:space="preserve"> performed on a Neptune Plus MC-ICP-MS housed at the </w:t>
      </w:r>
      <w:r w:rsidRPr="003A7E64">
        <w:rPr>
          <w:rFonts w:ascii="Times New Roman" w:hAnsi="Times New Roman" w:cs="Times New Roman"/>
          <w:sz w:val="22"/>
          <w:szCs w:val="22"/>
        </w:rPr>
        <w:t>University of Wisconsin-Madison’s State Laboratory of Hygiene</w:t>
      </w:r>
      <w:r w:rsidRPr="003A7E64">
        <w:rPr>
          <w:rFonts w:ascii="Times New Roman" w:hAnsi="Times New Roman" w:cs="Times New Roman"/>
          <w:sz w:val="22"/>
          <w:szCs w:val="22"/>
          <w:lang w:val="en-GB"/>
        </w:rPr>
        <w:t>. T</w:t>
      </w:r>
      <w:r w:rsidRPr="003A7E64">
        <w:rPr>
          <w:rFonts w:ascii="Times New Roman" w:hAnsi="Times New Roman" w:cs="Times New Roman"/>
          <w:sz w:val="22"/>
          <w:szCs w:val="22"/>
        </w:rPr>
        <w:t xml:space="preserve">he instrument was equipped with a gas-liquid </w:t>
      </w:r>
      <w:r w:rsidRPr="003A7E64">
        <w:rPr>
          <w:rFonts w:ascii="Times New Roman" w:hAnsi="Times New Roman" w:cs="Times New Roman"/>
          <w:sz w:val="22"/>
          <w:szCs w:val="22"/>
          <w:lang w:val="en-GB"/>
        </w:rPr>
        <w:t>phase</w:t>
      </w:r>
      <w:r w:rsidRPr="003A7E64">
        <w:rPr>
          <w:rFonts w:ascii="Times New Roman" w:hAnsi="Times New Roman" w:cs="Times New Roman"/>
          <w:sz w:val="22"/>
          <w:szCs w:val="22"/>
        </w:rPr>
        <w:t xml:space="preserve"> separator and an Apex-Q </w:t>
      </w:r>
      <w:proofErr w:type="spellStart"/>
      <w:r w:rsidRPr="003A7E64">
        <w:rPr>
          <w:rFonts w:ascii="Times New Roman" w:hAnsi="Times New Roman" w:cs="Times New Roman"/>
          <w:sz w:val="22"/>
          <w:szCs w:val="22"/>
        </w:rPr>
        <w:t>desolvation</w:t>
      </w:r>
      <w:proofErr w:type="spellEnd"/>
      <w:r w:rsidRPr="003A7E64">
        <w:rPr>
          <w:rFonts w:ascii="Times New Roman" w:hAnsi="Times New Roman" w:cs="Times New Roman"/>
          <w:sz w:val="22"/>
          <w:szCs w:val="22"/>
        </w:rPr>
        <w:t xml:space="preserve"> unit (Elemental Scientific Inc., USA) for Hg and thallium (</w:t>
      </w:r>
      <w:proofErr w:type="spellStart"/>
      <w:r w:rsidRPr="003A7E64">
        <w:rPr>
          <w:rFonts w:ascii="Times New Roman" w:hAnsi="Times New Roman" w:cs="Times New Roman"/>
          <w:sz w:val="22"/>
          <w:szCs w:val="22"/>
        </w:rPr>
        <w:t>Tl</w:t>
      </w:r>
      <w:proofErr w:type="spellEnd"/>
      <w:r w:rsidRPr="003A7E64">
        <w:rPr>
          <w:rFonts w:ascii="Times New Roman" w:hAnsi="Times New Roman" w:cs="Times New Roman"/>
          <w:sz w:val="22"/>
          <w:szCs w:val="22"/>
        </w:rPr>
        <w:t xml:space="preserve">) introduction, respectively. </w:t>
      </w:r>
      <w:r w:rsidRPr="003A7E64">
        <w:rPr>
          <w:rFonts w:ascii="Times New Roman" w:hAnsi="Times New Roman" w:cs="Times New Roman"/>
          <w:sz w:val="22"/>
          <w:szCs w:val="22"/>
          <w:lang w:val="en-GB"/>
        </w:rPr>
        <w:t>Briefly, stannous chloride (SnCl</w:t>
      </w:r>
      <w:r w:rsidRPr="00A744E3">
        <w:rPr>
          <w:rFonts w:ascii="Times New Roman" w:eastAsiaTheme="minorEastAsia" w:hAnsi="Times New Roman" w:cs="Times New Roman" w:hint="eastAsia"/>
          <w:sz w:val="22"/>
          <w:szCs w:val="22"/>
          <w:vertAlign w:val="subscript"/>
          <w:lang w:val="en-GB"/>
        </w:rPr>
        <w:t>2</w:t>
      </w:r>
      <w:r w:rsidRPr="003A7E64">
        <w:rPr>
          <w:rFonts w:ascii="Times New Roman" w:hAnsi="Times New Roman" w:cs="Times New Roman"/>
          <w:sz w:val="22"/>
          <w:szCs w:val="22"/>
          <w:lang w:val="en-GB"/>
        </w:rPr>
        <w:t xml:space="preserve">) was continually pumped along with Hg solutions onto a frosted glass phase separator, producing gaseous elemental </w:t>
      </w:r>
      <w:proofErr w:type="gramStart"/>
      <w:r w:rsidRPr="003A7E64">
        <w:rPr>
          <w:rFonts w:ascii="Times New Roman" w:hAnsi="Times New Roman" w:cs="Times New Roman"/>
          <w:sz w:val="22"/>
          <w:szCs w:val="22"/>
          <w:lang w:val="en-GB"/>
        </w:rPr>
        <w:t>Hg(</w:t>
      </w:r>
      <w:proofErr w:type="gramEnd"/>
      <w:r w:rsidRPr="003A7E64">
        <w:rPr>
          <w:rFonts w:ascii="Times New Roman" w:hAnsi="Times New Roman" w:cs="Times New Roman"/>
          <w:sz w:val="22"/>
          <w:szCs w:val="22"/>
          <w:lang w:val="en-GB"/>
        </w:rPr>
        <w:t xml:space="preserve">0) which was mixed with the dry </w:t>
      </w:r>
      <w:proofErr w:type="spellStart"/>
      <w:r w:rsidRPr="003A7E64">
        <w:rPr>
          <w:rFonts w:ascii="Times New Roman" w:hAnsi="Times New Roman" w:cs="Times New Roman"/>
          <w:sz w:val="22"/>
          <w:szCs w:val="22"/>
          <w:lang w:val="en-GB"/>
        </w:rPr>
        <w:t>Tl</w:t>
      </w:r>
      <w:proofErr w:type="spellEnd"/>
      <w:r w:rsidRPr="003A7E64">
        <w:rPr>
          <w:rFonts w:ascii="Times New Roman" w:hAnsi="Times New Roman" w:cs="Times New Roman"/>
          <w:sz w:val="22"/>
          <w:szCs w:val="22"/>
          <w:lang w:val="en-GB"/>
        </w:rPr>
        <w:t xml:space="preserve"> aerosol generated by the Apex-Q nebulizer, before being introduced into the plasma. </w:t>
      </w:r>
      <w:r w:rsidRPr="003A7E64">
        <w:rPr>
          <w:rFonts w:ascii="Times New Roman" w:hAnsi="Times New Roman" w:cs="Times New Roman"/>
          <w:sz w:val="22"/>
          <w:szCs w:val="22"/>
        </w:rPr>
        <w:t xml:space="preserve">The Apex-Q nebulizer was set in the free flow-mode using the “sample” gas of the MC-ICP-MS, and the </w:t>
      </w:r>
      <w:r w:rsidRPr="003A7E64">
        <w:rPr>
          <w:rFonts w:ascii="Times New Roman" w:hAnsi="Times New Roman" w:cs="Times New Roman"/>
          <w:sz w:val="22"/>
          <w:szCs w:val="22"/>
          <w:lang w:val="en-GB"/>
        </w:rPr>
        <w:t>glass phase separator</w:t>
      </w:r>
      <w:r w:rsidRPr="003A7E64">
        <w:rPr>
          <w:rFonts w:ascii="Times New Roman" w:hAnsi="Times New Roman" w:cs="Times New Roman"/>
          <w:sz w:val="22"/>
          <w:szCs w:val="22"/>
        </w:rPr>
        <w:t xml:space="preserve"> was flushed with the “additional” gas of the instrument. NIST SRM 997 </w:t>
      </w:r>
      <w:proofErr w:type="spellStart"/>
      <w:r w:rsidRPr="003A7E64">
        <w:rPr>
          <w:rFonts w:ascii="Times New Roman" w:hAnsi="Times New Roman" w:cs="Times New Roman"/>
          <w:sz w:val="22"/>
          <w:szCs w:val="22"/>
        </w:rPr>
        <w:t>Tl</w:t>
      </w:r>
      <w:proofErr w:type="spellEnd"/>
      <w:r w:rsidRPr="003A7E64">
        <w:rPr>
          <w:rFonts w:ascii="Times New Roman" w:hAnsi="Times New Roman" w:cs="Times New Roman"/>
          <w:sz w:val="22"/>
          <w:szCs w:val="22"/>
        </w:rPr>
        <w:t xml:space="preserve"> standard (</w:t>
      </w:r>
      <w:r w:rsidRPr="003A7E64">
        <w:rPr>
          <w:rFonts w:ascii="Times New Roman" w:hAnsi="Times New Roman" w:cs="Times New Roman"/>
          <w:sz w:val="22"/>
          <w:szCs w:val="22"/>
          <w:vertAlign w:val="superscript"/>
        </w:rPr>
        <w:t>205</w:t>
      </w:r>
      <w:r w:rsidRPr="003A7E64">
        <w:rPr>
          <w:rFonts w:ascii="Times New Roman" w:hAnsi="Times New Roman" w:cs="Times New Roman"/>
          <w:sz w:val="22"/>
          <w:szCs w:val="22"/>
        </w:rPr>
        <w:t>Tl/</w:t>
      </w:r>
      <w:r w:rsidRPr="003A7E64">
        <w:rPr>
          <w:rFonts w:ascii="Times New Roman" w:hAnsi="Times New Roman" w:cs="Times New Roman"/>
          <w:sz w:val="22"/>
          <w:szCs w:val="22"/>
          <w:vertAlign w:val="superscript"/>
        </w:rPr>
        <w:t>203</w:t>
      </w:r>
      <w:r w:rsidRPr="003A7E64">
        <w:rPr>
          <w:rFonts w:ascii="Times New Roman" w:hAnsi="Times New Roman" w:cs="Times New Roman"/>
          <w:sz w:val="22"/>
          <w:szCs w:val="22"/>
        </w:rPr>
        <w:t xml:space="preserve">Tl = 2.38714) was used as an internal standard for simultaneous instrumental mass bias correction of Hg. </w:t>
      </w:r>
      <w:r w:rsidRPr="003A7E64">
        <w:rPr>
          <w:rFonts w:ascii="Times New Roman" w:hAnsi="Times New Roman" w:cs="Times New Roman"/>
          <w:sz w:val="22"/>
          <w:szCs w:val="22"/>
          <w:lang w:val="en-GB"/>
        </w:rPr>
        <w:t xml:space="preserve">Seven of the nine faraday cups, L3, L2, L1, C, H1, H2 and H3, were used to monitor the </w:t>
      </w:r>
      <w:r w:rsidRPr="003A7E64">
        <w:rPr>
          <w:rFonts w:ascii="Times New Roman" w:hAnsi="Times New Roman" w:cs="Times New Roman"/>
          <w:sz w:val="22"/>
          <w:szCs w:val="22"/>
          <w:vertAlign w:val="superscript"/>
          <w:lang w:val="en-GB"/>
        </w:rPr>
        <w:t>198</w:t>
      </w:r>
      <w:r w:rsidRPr="003A7E64">
        <w:rPr>
          <w:rFonts w:ascii="Times New Roman" w:hAnsi="Times New Roman" w:cs="Times New Roman"/>
          <w:sz w:val="22"/>
          <w:szCs w:val="22"/>
          <w:lang w:val="en-GB"/>
        </w:rPr>
        <w:t xml:space="preserve">Hg, </w:t>
      </w:r>
      <w:r w:rsidRPr="003A7E64">
        <w:rPr>
          <w:rFonts w:ascii="Times New Roman" w:hAnsi="Times New Roman" w:cs="Times New Roman"/>
          <w:sz w:val="22"/>
          <w:szCs w:val="22"/>
          <w:vertAlign w:val="superscript"/>
          <w:lang w:val="en-GB"/>
        </w:rPr>
        <w:t>199</w:t>
      </w:r>
      <w:r w:rsidRPr="003A7E64">
        <w:rPr>
          <w:rFonts w:ascii="Times New Roman" w:hAnsi="Times New Roman" w:cs="Times New Roman"/>
          <w:sz w:val="22"/>
          <w:szCs w:val="22"/>
          <w:lang w:val="en-GB"/>
        </w:rPr>
        <w:t xml:space="preserve">Hg, </w:t>
      </w:r>
      <w:r w:rsidRPr="003A7E64">
        <w:rPr>
          <w:rFonts w:ascii="Times New Roman" w:hAnsi="Times New Roman" w:cs="Times New Roman"/>
          <w:sz w:val="22"/>
          <w:szCs w:val="22"/>
          <w:vertAlign w:val="superscript"/>
          <w:lang w:val="en-GB"/>
        </w:rPr>
        <w:t>200</w:t>
      </w:r>
      <w:r w:rsidRPr="003A7E64">
        <w:rPr>
          <w:rFonts w:ascii="Times New Roman" w:hAnsi="Times New Roman" w:cs="Times New Roman"/>
          <w:sz w:val="22"/>
          <w:szCs w:val="22"/>
          <w:lang w:val="en-GB"/>
        </w:rPr>
        <w:t xml:space="preserve">Hg, </w:t>
      </w:r>
      <w:r w:rsidRPr="003A7E64">
        <w:rPr>
          <w:rFonts w:ascii="Times New Roman" w:hAnsi="Times New Roman" w:cs="Times New Roman"/>
          <w:sz w:val="22"/>
          <w:szCs w:val="22"/>
          <w:vertAlign w:val="superscript"/>
          <w:lang w:val="en-GB"/>
        </w:rPr>
        <w:t>201</w:t>
      </w:r>
      <w:r w:rsidRPr="003A7E64">
        <w:rPr>
          <w:rFonts w:ascii="Times New Roman" w:hAnsi="Times New Roman" w:cs="Times New Roman"/>
          <w:sz w:val="22"/>
          <w:szCs w:val="22"/>
          <w:lang w:val="en-GB"/>
        </w:rPr>
        <w:t xml:space="preserve">Hg, </w:t>
      </w:r>
      <w:r w:rsidRPr="003A7E64">
        <w:rPr>
          <w:rFonts w:ascii="Times New Roman" w:hAnsi="Times New Roman" w:cs="Times New Roman"/>
          <w:sz w:val="22"/>
          <w:szCs w:val="22"/>
          <w:vertAlign w:val="superscript"/>
          <w:lang w:val="en-GB"/>
        </w:rPr>
        <w:t>202</w:t>
      </w:r>
      <w:r w:rsidRPr="003A7E64">
        <w:rPr>
          <w:rFonts w:ascii="Times New Roman" w:hAnsi="Times New Roman" w:cs="Times New Roman"/>
          <w:sz w:val="22"/>
          <w:szCs w:val="22"/>
          <w:lang w:val="en-GB"/>
        </w:rPr>
        <w:t xml:space="preserve">Hg, </w:t>
      </w:r>
      <w:r w:rsidRPr="003A7E64">
        <w:rPr>
          <w:rFonts w:ascii="Times New Roman" w:hAnsi="Times New Roman" w:cs="Times New Roman"/>
          <w:sz w:val="22"/>
          <w:szCs w:val="22"/>
          <w:vertAlign w:val="superscript"/>
          <w:lang w:val="en-GB"/>
        </w:rPr>
        <w:t>203</w:t>
      </w:r>
      <w:r w:rsidRPr="003A7E64">
        <w:rPr>
          <w:rFonts w:ascii="Times New Roman" w:hAnsi="Times New Roman" w:cs="Times New Roman"/>
          <w:sz w:val="22"/>
          <w:szCs w:val="22"/>
          <w:lang w:val="en-GB"/>
        </w:rPr>
        <w:t xml:space="preserve">Tl and </w:t>
      </w:r>
      <w:r w:rsidRPr="003A7E64">
        <w:rPr>
          <w:rFonts w:ascii="Times New Roman" w:hAnsi="Times New Roman" w:cs="Times New Roman"/>
          <w:sz w:val="22"/>
          <w:szCs w:val="22"/>
          <w:vertAlign w:val="superscript"/>
          <w:lang w:val="en-GB"/>
        </w:rPr>
        <w:t>205</w:t>
      </w:r>
      <w:r w:rsidRPr="003A7E64">
        <w:rPr>
          <w:rFonts w:ascii="Times New Roman" w:hAnsi="Times New Roman" w:cs="Times New Roman"/>
          <w:sz w:val="22"/>
          <w:szCs w:val="22"/>
          <w:lang w:val="en-GB"/>
        </w:rPr>
        <w:t xml:space="preserve">Tl isotopes, respectively. </w:t>
      </w:r>
      <w:r w:rsidRPr="003A7E64">
        <w:rPr>
          <w:rFonts w:ascii="Times New Roman" w:hAnsi="Times New Roman" w:cs="Times New Roman"/>
          <w:sz w:val="22"/>
          <w:szCs w:val="22"/>
        </w:rPr>
        <w:t xml:space="preserve">The gains of the amplifier associated with each Faraday collector were calibrated for efficiency on a daily basis. Instrument parameters (e.g., </w:t>
      </w:r>
      <w:proofErr w:type="spellStart"/>
      <w:r w:rsidRPr="003A7E64">
        <w:rPr>
          <w:rFonts w:ascii="Times New Roman" w:hAnsi="Times New Roman" w:cs="Times New Roman"/>
          <w:sz w:val="22"/>
          <w:szCs w:val="22"/>
        </w:rPr>
        <w:t>Ar</w:t>
      </w:r>
      <w:proofErr w:type="spellEnd"/>
      <w:r w:rsidRPr="003A7E64">
        <w:rPr>
          <w:rFonts w:ascii="Times New Roman" w:hAnsi="Times New Roman" w:cs="Times New Roman"/>
          <w:sz w:val="22"/>
          <w:szCs w:val="22"/>
        </w:rPr>
        <w:t xml:space="preserve"> gas flows, torch settings, and lens system) were tuned for a maximum ion intensity of Hg and </w:t>
      </w:r>
      <w:proofErr w:type="spellStart"/>
      <w:r w:rsidRPr="003A7E64">
        <w:rPr>
          <w:rFonts w:ascii="Times New Roman" w:hAnsi="Times New Roman" w:cs="Times New Roman"/>
          <w:sz w:val="22"/>
          <w:szCs w:val="22"/>
        </w:rPr>
        <w:t>Tl</w:t>
      </w:r>
      <w:proofErr w:type="spellEnd"/>
      <w:r w:rsidRPr="003A7E64">
        <w:rPr>
          <w:rFonts w:ascii="Times New Roman" w:hAnsi="Times New Roman" w:cs="Times New Roman"/>
          <w:sz w:val="22"/>
          <w:szCs w:val="22"/>
        </w:rPr>
        <w:t xml:space="preserve"> in standard solutions. Operating conditions and instrumentation of this study are summarized in Table S2. Data w</w:t>
      </w:r>
      <w:r>
        <w:rPr>
          <w:rFonts w:ascii="Times New Roman" w:eastAsiaTheme="minorEastAsia" w:hAnsi="Times New Roman" w:cs="Times New Roman" w:hint="eastAsia"/>
          <w:sz w:val="22"/>
          <w:szCs w:val="22"/>
        </w:rPr>
        <w:t>as</w:t>
      </w:r>
      <w:r w:rsidRPr="003A7E64">
        <w:rPr>
          <w:rFonts w:ascii="Times New Roman" w:hAnsi="Times New Roman" w:cs="Times New Roman"/>
          <w:sz w:val="22"/>
          <w:szCs w:val="22"/>
        </w:rPr>
        <w:t xml:space="preserve"> acquired using 3 </w:t>
      </w:r>
      <w:proofErr w:type="gramStart"/>
      <w:r w:rsidRPr="003A7E64">
        <w:rPr>
          <w:rFonts w:ascii="Times New Roman" w:hAnsi="Times New Roman" w:cs="Times New Roman"/>
          <w:sz w:val="22"/>
          <w:szCs w:val="22"/>
        </w:rPr>
        <w:t>block</w:t>
      </w:r>
      <w:proofErr w:type="gramEnd"/>
      <w:r w:rsidRPr="003A7E64">
        <w:rPr>
          <w:rFonts w:ascii="Times New Roman" w:hAnsi="Times New Roman" w:cs="Times New Roman"/>
          <w:sz w:val="22"/>
          <w:szCs w:val="22"/>
        </w:rPr>
        <w:t xml:space="preserve"> of 60 cycles, monitoring all isotopes for 2.097 s per cycle. An initial uptake of sample solution of 3 min to ensure stable signals before measurements started. Between samples, the </w:t>
      </w:r>
      <w:r w:rsidRPr="003A7E64">
        <w:rPr>
          <w:rFonts w:ascii="Times New Roman" w:hAnsi="Times New Roman" w:cs="Times New Roman"/>
          <w:sz w:val="22"/>
          <w:szCs w:val="22"/>
          <w:lang w:val="en-GB"/>
        </w:rPr>
        <w:t>glass phase separator</w:t>
      </w:r>
      <w:r w:rsidRPr="003A7E64">
        <w:rPr>
          <w:rFonts w:ascii="Times New Roman" w:hAnsi="Times New Roman" w:cs="Times New Roman"/>
          <w:sz w:val="22"/>
          <w:szCs w:val="22"/>
        </w:rPr>
        <w:t xml:space="preserve"> was rinsed using 0.8 M HNO</w:t>
      </w:r>
      <w:r w:rsidRPr="003A7E64">
        <w:rPr>
          <w:rFonts w:ascii="Times New Roman" w:hAnsi="Times New Roman" w:cs="Times New Roman"/>
          <w:sz w:val="22"/>
          <w:szCs w:val="22"/>
          <w:vertAlign w:val="subscript"/>
        </w:rPr>
        <w:t>3</w:t>
      </w:r>
      <w:r w:rsidRPr="003A7E64">
        <w:rPr>
          <w:rFonts w:ascii="Times New Roman" w:hAnsi="Times New Roman" w:cs="Times New Roman"/>
          <w:sz w:val="22"/>
          <w:szCs w:val="22"/>
        </w:rPr>
        <w:t xml:space="preserve"> </w:t>
      </w:r>
      <w:r w:rsidRPr="003A7E64">
        <w:rPr>
          <w:rFonts w:ascii="Times New Roman" w:hAnsi="Times New Roman" w:cs="Times New Roman"/>
          <w:sz w:val="22"/>
          <w:szCs w:val="22"/>
        </w:rPr>
        <w:lastRenderedPageBreak/>
        <w:t xml:space="preserve">for 6 minutes until the signal intensity returned to background level. </w:t>
      </w:r>
      <w:r w:rsidRPr="003A7E64">
        <w:rPr>
          <w:rFonts w:ascii="Times New Roman" w:hAnsi="Times New Roman" w:cs="Times New Roman"/>
          <w:sz w:val="22"/>
          <w:szCs w:val="22"/>
          <w:lang w:val="en-GB"/>
        </w:rPr>
        <w:t xml:space="preserve">The signals for </w:t>
      </w:r>
      <w:r w:rsidRPr="003A7E64">
        <w:rPr>
          <w:rFonts w:ascii="Times New Roman" w:hAnsi="Times New Roman" w:cs="Times New Roman"/>
          <w:sz w:val="22"/>
          <w:szCs w:val="22"/>
          <w:vertAlign w:val="superscript"/>
          <w:lang w:val="en-GB"/>
        </w:rPr>
        <w:t>202</w:t>
      </w:r>
      <w:r w:rsidRPr="003A7E64">
        <w:rPr>
          <w:rFonts w:ascii="Times New Roman" w:hAnsi="Times New Roman" w:cs="Times New Roman"/>
          <w:sz w:val="22"/>
          <w:szCs w:val="22"/>
          <w:lang w:val="en-GB"/>
        </w:rPr>
        <w:t xml:space="preserve">Hg and </w:t>
      </w:r>
      <w:r w:rsidRPr="003A7E64">
        <w:rPr>
          <w:rFonts w:ascii="Times New Roman" w:hAnsi="Times New Roman" w:cs="Times New Roman"/>
          <w:sz w:val="22"/>
          <w:szCs w:val="22"/>
          <w:vertAlign w:val="superscript"/>
          <w:lang w:val="en-GB"/>
        </w:rPr>
        <w:t>205</w:t>
      </w:r>
      <w:r w:rsidRPr="003A7E64">
        <w:rPr>
          <w:rFonts w:ascii="Times New Roman" w:hAnsi="Times New Roman" w:cs="Times New Roman"/>
          <w:sz w:val="22"/>
          <w:szCs w:val="22"/>
          <w:lang w:val="en-GB"/>
        </w:rPr>
        <w:t>Tl were &lt;0.02 V for acid blanks. T</w:t>
      </w:r>
      <w:r w:rsidRPr="003A7E64">
        <w:rPr>
          <w:rFonts w:ascii="Times New Roman" w:hAnsi="Times New Roman" w:cs="Times New Roman"/>
          <w:sz w:val="22"/>
          <w:szCs w:val="22"/>
        </w:rPr>
        <w:t xml:space="preserve">he sensitivity for </w:t>
      </w:r>
      <w:r w:rsidRPr="003A7E64">
        <w:rPr>
          <w:rFonts w:ascii="Times New Roman" w:hAnsi="Times New Roman" w:cs="Times New Roman"/>
          <w:sz w:val="22"/>
          <w:szCs w:val="22"/>
          <w:vertAlign w:val="superscript"/>
        </w:rPr>
        <w:t>201</w:t>
      </w:r>
      <w:r w:rsidRPr="003A7E64">
        <w:rPr>
          <w:rFonts w:ascii="Times New Roman" w:hAnsi="Times New Roman" w:cs="Times New Roman"/>
          <w:sz w:val="22"/>
          <w:szCs w:val="22"/>
        </w:rPr>
        <w:t xml:space="preserve">Hg during Hg isotope analysis is estimated to be 0.65 V per </w:t>
      </w:r>
      <w:proofErr w:type="spellStart"/>
      <w:r w:rsidRPr="003A7E64">
        <w:rPr>
          <w:rFonts w:ascii="Times New Roman" w:hAnsi="Times New Roman" w:cs="Times New Roman"/>
          <w:sz w:val="22"/>
          <w:szCs w:val="22"/>
        </w:rPr>
        <w:t>ng</w:t>
      </w:r>
      <w:proofErr w:type="spellEnd"/>
      <w:r w:rsidRPr="003A7E64">
        <w:rPr>
          <w:rFonts w:ascii="Times New Roman" w:hAnsi="Times New Roman" w:cs="Times New Roman"/>
          <w:sz w:val="22"/>
          <w:szCs w:val="22"/>
        </w:rPr>
        <w:t xml:space="preserve"> mL</w:t>
      </w:r>
      <w:r w:rsidRPr="003A7E64">
        <w:rPr>
          <w:rFonts w:ascii="Times New Roman" w:hAnsi="Times New Roman" w:cs="Times New Roman"/>
          <w:sz w:val="22"/>
          <w:szCs w:val="22"/>
          <w:vertAlign w:val="superscript"/>
        </w:rPr>
        <w:t>-1</w:t>
      </w:r>
      <w:r w:rsidRPr="003A7E64">
        <w:rPr>
          <w:rFonts w:ascii="Times New Roman" w:hAnsi="Times New Roman" w:cs="Times New Roman"/>
          <w:sz w:val="22"/>
          <w:szCs w:val="22"/>
        </w:rPr>
        <w:t xml:space="preserve"> Hg, and the intensities of </w:t>
      </w:r>
      <w:r w:rsidRPr="003A7E64">
        <w:rPr>
          <w:rFonts w:ascii="Times New Roman" w:hAnsi="Times New Roman" w:cs="Times New Roman"/>
          <w:sz w:val="22"/>
          <w:szCs w:val="22"/>
          <w:vertAlign w:val="superscript"/>
        </w:rPr>
        <w:t>205</w:t>
      </w:r>
      <w:r w:rsidRPr="003A7E64">
        <w:rPr>
          <w:rFonts w:ascii="Times New Roman" w:hAnsi="Times New Roman" w:cs="Times New Roman"/>
          <w:sz w:val="22"/>
          <w:szCs w:val="22"/>
        </w:rPr>
        <w:t xml:space="preserve">Tl for 20 </w:t>
      </w:r>
      <w:proofErr w:type="spellStart"/>
      <w:r w:rsidRPr="003A7E64">
        <w:rPr>
          <w:rFonts w:ascii="Times New Roman" w:hAnsi="Times New Roman" w:cs="Times New Roman"/>
          <w:sz w:val="22"/>
          <w:szCs w:val="22"/>
        </w:rPr>
        <w:t>ng</w:t>
      </w:r>
      <w:proofErr w:type="spellEnd"/>
      <w:r w:rsidRPr="003A7E64">
        <w:rPr>
          <w:rFonts w:ascii="Times New Roman" w:hAnsi="Times New Roman" w:cs="Times New Roman"/>
          <w:sz w:val="22"/>
          <w:szCs w:val="22"/>
        </w:rPr>
        <w:t xml:space="preserve"> mL</w:t>
      </w:r>
      <w:r w:rsidRPr="0057072F">
        <w:rPr>
          <w:rFonts w:ascii="Times New Roman" w:hAnsi="Times New Roman" w:cs="Times New Roman"/>
          <w:sz w:val="22"/>
          <w:szCs w:val="22"/>
          <w:vertAlign w:val="superscript"/>
        </w:rPr>
        <w:t>-1</w:t>
      </w:r>
      <w:r w:rsidRPr="003A7E64">
        <w:rPr>
          <w:rFonts w:ascii="Times New Roman" w:hAnsi="Times New Roman" w:cs="Times New Roman"/>
          <w:sz w:val="22"/>
          <w:szCs w:val="22"/>
        </w:rPr>
        <w:t xml:space="preserve"> </w:t>
      </w:r>
      <w:proofErr w:type="spellStart"/>
      <w:r w:rsidRPr="003A7E64">
        <w:rPr>
          <w:rFonts w:ascii="Times New Roman" w:hAnsi="Times New Roman" w:cs="Times New Roman"/>
          <w:sz w:val="22"/>
          <w:szCs w:val="22"/>
        </w:rPr>
        <w:t>Tl</w:t>
      </w:r>
      <w:proofErr w:type="spellEnd"/>
      <w:r w:rsidRPr="003A7E64">
        <w:rPr>
          <w:rFonts w:ascii="Times New Roman" w:hAnsi="Times New Roman" w:cs="Times New Roman"/>
          <w:sz w:val="22"/>
          <w:szCs w:val="22"/>
        </w:rPr>
        <w:t xml:space="preserve"> standard solution during all analysis range from 3.7 to 3.9 V. </w:t>
      </w:r>
      <w:proofErr w:type="spellStart"/>
      <w:r w:rsidRPr="003A7E64">
        <w:rPr>
          <w:rFonts w:ascii="Times New Roman" w:hAnsi="Times New Roman" w:cs="Times New Roman"/>
          <w:sz w:val="22"/>
          <w:szCs w:val="22"/>
          <w:lang w:val="en-GB"/>
        </w:rPr>
        <w:t>THg</w:t>
      </w:r>
      <w:proofErr w:type="spellEnd"/>
      <w:r w:rsidRPr="003A7E64">
        <w:rPr>
          <w:rFonts w:ascii="Times New Roman" w:hAnsi="Times New Roman" w:cs="Times New Roman"/>
          <w:sz w:val="22"/>
          <w:szCs w:val="22"/>
          <w:lang w:val="en-GB"/>
        </w:rPr>
        <w:t xml:space="preserve"> in acid digests w</w:t>
      </w:r>
      <w:r>
        <w:rPr>
          <w:rFonts w:ascii="Times New Roman" w:eastAsiaTheme="minorEastAsia" w:hAnsi="Times New Roman" w:cs="Times New Roman" w:hint="eastAsia"/>
          <w:sz w:val="22"/>
          <w:szCs w:val="22"/>
          <w:lang w:val="en-GB"/>
        </w:rPr>
        <w:t>as</w:t>
      </w:r>
      <w:r w:rsidRPr="003A7E64">
        <w:rPr>
          <w:rFonts w:ascii="Times New Roman" w:hAnsi="Times New Roman" w:cs="Times New Roman"/>
          <w:sz w:val="22"/>
          <w:szCs w:val="22"/>
          <w:lang w:val="en-GB"/>
        </w:rPr>
        <w:t xml:space="preserve"> also monitored by MC-ICP-MS using </w:t>
      </w:r>
      <w:r w:rsidRPr="003A7E64">
        <w:rPr>
          <w:rFonts w:ascii="Times New Roman" w:hAnsi="Times New Roman" w:cs="Times New Roman"/>
          <w:sz w:val="22"/>
          <w:szCs w:val="22"/>
          <w:vertAlign w:val="superscript"/>
          <w:lang w:val="en-GB"/>
        </w:rPr>
        <w:t>202</w:t>
      </w:r>
      <w:r w:rsidRPr="003A7E64">
        <w:rPr>
          <w:rFonts w:ascii="Times New Roman" w:hAnsi="Times New Roman" w:cs="Times New Roman"/>
          <w:sz w:val="22"/>
          <w:szCs w:val="22"/>
          <w:lang w:val="en-GB"/>
        </w:rPr>
        <w:t>Hg signals, which show</w:t>
      </w:r>
      <w:r>
        <w:rPr>
          <w:rFonts w:ascii="Times New Roman" w:eastAsiaTheme="minorEastAsia" w:hAnsi="Times New Roman" w:cs="Times New Roman" w:hint="eastAsia"/>
          <w:sz w:val="22"/>
          <w:szCs w:val="22"/>
          <w:lang w:val="en-GB"/>
        </w:rPr>
        <w:t>ed</w:t>
      </w:r>
      <w:r w:rsidRPr="003A7E64">
        <w:rPr>
          <w:rFonts w:ascii="Times New Roman" w:hAnsi="Times New Roman" w:cs="Times New Roman"/>
          <w:sz w:val="22"/>
          <w:szCs w:val="22"/>
          <w:lang w:val="en-GB"/>
        </w:rPr>
        <w:t xml:space="preserve"> that the recoveries of Hg in acid digests were &gt;93%.</w:t>
      </w:r>
    </w:p>
    <w:p w:rsidR="00491E43" w:rsidRPr="003A7E64" w:rsidRDefault="00491E43" w:rsidP="00491E43">
      <w:pPr>
        <w:pStyle w:val="HTMLPreformatted"/>
        <w:spacing w:line="360" w:lineRule="auto"/>
        <w:rPr>
          <w:rFonts w:ascii="Times New Roman" w:hAnsi="Times New Roman" w:cs="Times New Roman"/>
          <w:sz w:val="22"/>
          <w:szCs w:val="22"/>
        </w:rPr>
      </w:pPr>
      <w:r w:rsidRPr="003A7E64">
        <w:rPr>
          <w:rFonts w:ascii="Times New Roman" w:hAnsi="Times New Roman" w:cs="Times New Roman"/>
          <w:sz w:val="22"/>
          <w:szCs w:val="22"/>
        </w:rPr>
        <w:t xml:space="preserve">A standard-sample-standard bracketing approach was used to compare relative per mil (‰) deviation (using the δ notation) of all our measurements to NIST SRM 3133, as suggested by Blum and </w:t>
      </w:r>
      <w:proofErr w:type="spellStart"/>
      <w:r w:rsidRPr="003A7E64">
        <w:rPr>
          <w:rFonts w:ascii="Times New Roman" w:hAnsi="Times New Roman" w:cs="Times New Roman"/>
          <w:sz w:val="22"/>
          <w:szCs w:val="22"/>
        </w:rPr>
        <w:t>Bergquist</w:t>
      </w:r>
      <w:proofErr w:type="spellEnd"/>
      <w:r w:rsidRPr="003A7E64">
        <w:rPr>
          <w:rFonts w:ascii="Times New Roman" w:hAnsi="Times New Roman" w:cs="Times New Roman"/>
          <w:sz w:val="22"/>
          <w:szCs w:val="22"/>
        </w:rPr>
        <w:t xml:space="preserve"> (2007):</w:t>
      </w:r>
    </w:p>
    <w:p w:rsidR="00491E43" w:rsidRPr="003A7E64" w:rsidRDefault="00491E43" w:rsidP="00491E43">
      <w:pPr>
        <w:pStyle w:val="HTMLPreformatted"/>
        <w:spacing w:line="360" w:lineRule="auto"/>
        <w:jc w:val="center"/>
        <w:rPr>
          <w:rFonts w:ascii="Times New Roman" w:hAnsi="Times New Roman" w:cs="Times New Roman"/>
          <w:sz w:val="22"/>
          <w:szCs w:val="22"/>
        </w:rPr>
      </w:pPr>
      <w:proofErr w:type="spellStart"/>
      <w:r w:rsidRPr="003A7E64">
        <w:rPr>
          <w:rFonts w:ascii="Times New Roman" w:hAnsi="Times New Roman" w:cs="Times New Roman"/>
          <w:sz w:val="22"/>
          <w:szCs w:val="22"/>
        </w:rPr>
        <w:t>δ</w:t>
      </w:r>
      <w:r w:rsidRPr="003A7E64">
        <w:rPr>
          <w:rFonts w:ascii="Times New Roman" w:hAnsi="Times New Roman" w:cs="Times New Roman"/>
          <w:sz w:val="22"/>
          <w:szCs w:val="22"/>
          <w:vertAlign w:val="superscript"/>
        </w:rPr>
        <w:t>xxx</w:t>
      </w:r>
      <w:r w:rsidRPr="003A7E64">
        <w:rPr>
          <w:rFonts w:ascii="Times New Roman" w:hAnsi="Times New Roman" w:cs="Times New Roman"/>
          <w:sz w:val="22"/>
          <w:szCs w:val="22"/>
        </w:rPr>
        <w:t>Hg</w:t>
      </w:r>
      <w:proofErr w:type="spellEnd"/>
      <w:r w:rsidRPr="003A7E64">
        <w:rPr>
          <w:rFonts w:ascii="Times New Roman" w:hAnsi="Times New Roman" w:cs="Times New Roman"/>
          <w:sz w:val="22"/>
          <w:szCs w:val="22"/>
        </w:rPr>
        <w:t>(‰) = {(</w:t>
      </w:r>
      <w:proofErr w:type="spellStart"/>
      <w:r w:rsidRPr="003A7E64">
        <w:rPr>
          <w:rFonts w:ascii="Times New Roman" w:hAnsi="Times New Roman" w:cs="Times New Roman"/>
          <w:sz w:val="22"/>
          <w:szCs w:val="22"/>
          <w:vertAlign w:val="superscript"/>
        </w:rPr>
        <w:t>xxx</w:t>
      </w:r>
      <w:r w:rsidRPr="003A7E64">
        <w:rPr>
          <w:rFonts w:ascii="Times New Roman" w:hAnsi="Times New Roman" w:cs="Times New Roman"/>
          <w:sz w:val="22"/>
          <w:szCs w:val="22"/>
        </w:rPr>
        <w:t>Hg</w:t>
      </w:r>
      <w:proofErr w:type="spellEnd"/>
      <w:r w:rsidRPr="003A7E64">
        <w:rPr>
          <w:rFonts w:ascii="Times New Roman" w:hAnsi="Times New Roman" w:cs="Times New Roman"/>
          <w:sz w:val="22"/>
          <w:szCs w:val="22"/>
        </w:rPr>
        <w:t>/</w:t>
      </w:r>
      <w:r w:rsidRPr="003A7E64">
        <w:rPr>
          <w:rFonts w:ascii="Times New Roman" w:hAnsi="Times New Roman" w:cs="Times New Roman"/>
          <w:sz w:val="22"/>
          <w:szCs w:val="22"/>
          <w:vertAlign w:val="superscript"/>
        </w:rPr>
        <w:t>198</w:t>
      </w:r>
      <w:r w:rsidRPr="003A7E64">
        <w:rPr>
          <w:rFonts w:ascii="Times New Roman" w:hAnsi="Times New Roman" w:cs="Times New Roman"/>
          <w:sz w:val="22"/>
          <w:szCs w:val="22"/>
        </w:rPr>
        <w:t>Hg</w:t>
      </w:r>
      <w:r w:rsidRPr="003A7E64">
        <w:rPr>
          <w:rFonts w:ascii="Times New Roman" w:hAnsi="Times New Roman" w:cs="Times New Roman"/>
          <w:sz w:val="22"/>
          <w:szCs w:val="22"/>
          <w:vertAlign w:val="subscript"/>
        </w:rPr>
        <w:t>sample</w:t>
      </w:r>
      <w:r w:rsidRPr="003A7E64">
        <w:rPr>
          <w:rFonts w:ascii="Times New Roman" w:hAnsi="Times New Roman" w:cs="Times New Roman"/>
          <w:sz w:val="22"/>
          <w:szCs w:val="22"/>
        </w:rPr>
        <w:t>)/(</w:t>
      </w:r>
      <w:proofErr w:type="spellStart"/>
      <w:r w:rsidRPr="003A7E64">
        <w:rPr>
          <w:rFonts w:ascii="Times New Roman" w:hAnsi="Times New Roman" w:cs="Times New Roman"/>
          <w:sz w:val="22"/>
          <w:szCs w:val="22"/>
          <w:vertAlign w:val="superscript"/>
        </w:rPr>
        <w:t>xxx</w:t>
      </w:r>
      <w:r w:rsidRPr="003A7E64">
        <w:rPr>
          <w:rFonts w:ascii="Times New Roman" w:hAnsi="Times New Roman" w:cs="Times New Roman"/>
          <w:sz w:val="22"/>
          <w:szCs w:val="22"/>
        </w:rPr>
        <w:t>Hg</w:t>
      </w:r>
      <w:proofErr w:type="spellEnd"/>
      <w:r w:rsidRPr="003A7E64">
        <w:rPr>
          <w:rFonts w:ascii="Times New Roman" w:hAnsi="Times New Roman" w:cs="Times New Roman"/>
          <w:sz w:val="22"/>
          <w:szCs w:val="22"/>
        </w:rPr>
        <w:t>/</w:t>
      </w:r>
      <w:r w:rsidRPr="003A7E64">
        <w:rPr>
          <w:rFonts w:ascii="Times New Roman" w:hAnsi="Times New Roman" w:cs="Times New Roman"/>
          <w:sz w:val="22"/>
          <w:szCs w:val="22"/>
          <w:vertAlign w:val="superscript"/>
        </w:rPr>
        <w:t>198</w:t>
      </w:r>
      <w:r w:rsidRPr="003A7E64">
        <w:rPr>
          <w:rFonts w:ascii="Times New Roman" w:hAnsi="Times New Roman" w:cs="Times New Roman"/>
          <w:sz w:val="22"/>
          <w:szCs w:val="22"/>
        </w:rPr>
        <w:t>Hg</w:t>
      </w:r>
      <w:r w:rsidRPr="003A7E64">
        <w:rPr>
          <w:rFonts w:ascii="Times New Roman" w:hAnsi="Times New Roman" w:cs="Times New Roman"/>
          <w:sz w:val="22"/>
          <w:szCs w:val="22"/>
          <w:vertAlign w:val="subscript"/>
        </w:rPr>
        <w:t>NIST 3133</w:t>
      </w:r>
      <w:r w:rsidRPr="003A7E64">
        <w:rPr>
          <w:rFonts w:ascii="Times New Roman" w:hAnsi="Times New Roman" w:cs="Times New Roman"/>
          <w:sz w:val="22"/>
          <w:szCs w:val="22"/>
        </w:rPr>
        <w:t>)</w:t>
      </w:r>
      <w:r w:rsidRPr="003A7E64">
        <w:rPr>
          <w:rFonts w:ascii="Times New Roman" w:hAnsi="Times New Roman" w:cs="Times New Roman"/>
          <w:sz w:val="22"/>
          <w:szCs w:val="22"/>
        </w:rPr>
        <w:t>－</w:t>
      </w:r>
      <w:r w:rsidRPr="003A7E64">
        <w:rPr>
          <w:rFonts w:ascii="Times New Roman" w:hAnsi="Times New Roman" w:cs="Times New Roman"/>
          <w:sz w:val="22"/>
          <w:szCs w:val="22"/>
        </w:rPr>
        <w:t>1}×1000   (1)</w:t>
      </w:r>
    </w:p>
    <w:p w:rsidR="00491E43" w:rsidRPr="003A7E64" w:rsidRDefault="00491E43" w:rsidP="00491E43">
      <w:pPr>
        <w:pStyle w:val="HTMLPreformatted"/>
        <w:spacing w:line="360" w:lineRule="auto"/>
        <w:rPr>
          <w:rFonts w:ascii="Times New Roman" w:hAnsi="Times New Roman" w:cs="Times New Roman"/>
          <w:sz w:val="22"/>
          <w:szCs w:val="22"/>
          <w:lang w:val="en-GB"/>
        </w:rPr>
      </w:pPr>
      <w:r w:rsidRPr="003A7E64">
        <w:rPr>
          <w:rFonts w:ascii="Times New Roman" w:hAnsi="Times New Roman" w:cs="Times New Roman"/>
          <w:sz w:val="22"/>
          <w:szCs w:val="22"/>
          <w:lang w:val="en-GB"/>
        </w:rPr>
        <w:t>The concentrations of Hg and acid in the bracketing NIST SRM 3133 solutions were within 10% of that of the UM-</w:t>
      </w:r>
      <w:proofErr w:type="spellStart"/>
      <w:r w:rsidRPr="003A7E64">
        <w:rPr>
          <w:rFonts w:ascii="Times New Roman" w:hAnsi="Times New Roman" w:cs="Times New Roman"/>
          <w:sz w:val="22"/>
          <w:szCs w:val="22"/>
          <w:lang w:val="en-GB"/>
        </w:rPr>
        <w:t>Almadén</w:t>
      </w:r>
      <w:proofErr w:type="spellEnd"/>
      <w:r w:rsidRPr="003A7E64">
        <w:rPr>
          <w:rFonts w:ascii="Times New Roman" w:hAnsi="Times New Roman" w:cs="Times New Roman"/>
          <w:sz w:val="22"/>
          <w:szCs w:val="22"/>
          <w:lang w:val="en-GB"/>
        </w:rPr>
        <w:t>.</w:t>
      </w:r>
      <w:r>
        <w:rPr>
          <w:rFonts w:ascii="Times New Roman" w:eastAsiaTheme="minorEastAsia" w:hAnsi="Times New Roman" w:cs="Times New Roman" w:hint="eastAsia"/>
          <w:sz w:val="22"/>
          <w:szCs w:val="22"/>
          <w:lang w:val="en-GB"/>
        </w:rPr>
        <w:t xml:space="preserve"> </w:t>
      </w:r>
      <w:r w:rsidRPr="003A7E64">
        <w:rPr>
          <w:rFonts w:ascii="Times New Roman" w:hAnsi="Times New Roman" w:cs="Times New Roman"/>
          <w:sz w:val="22"/>
          <w:szCs w:val="22"/>
          <w:lang w:val="en-GB"/>
        </w:rPr>
        <w:t xml:space="preserve">Hg-MIF is reported in </w:t>
      </w:r>
      <w:r w:rsidRPr="003A7E64">
        <w:rPr>
          <w:rFonts w:ascii="Times New Roman" w:hAnsi="Times New Roman" w:cs="Times New Roman"/>
          <w:sz w:val="22"/>
          <w:szCs w:val="22"/>
        </w:rPr>
        <w:t xml:space="preserve">Δ </w:t>
      </w:r>
      <w:r w:rsidRPr="003A7E64">
        <w:rPr>
          <w:rFonts w:ascii="Times New Roman" w:hAnsi="Times New Roman" w:cs="Times New Roman"/>
          <w:sz w:val="22"/>
          <w:szCs w:val="22"/>
          <w:lang w:val="en-GB"/>
        </w:rPr>
        <w:t>notation (</w:t>
      </w:r>
      <w:proofErr w:type="spellStart"/>
      <w:r w:rsidRPr="003A7E64">
        <w:rPr>
          <w:rFonts w:ascii="Times New Roman" w:hAnsi="Times New Roman" w:cs="Times New Roman"/>
          <w:sz w:val="22"/>
          <w:szCs w:val="22"/>
          <w:lang w:val="en-GB"/>
        </w:rPr>
        <w:t>Δ</w:t>
      </w:r>
      <w:r w:rsidRPr="003A7E64">
        <w:rPr>
          <w:rFonts w:ascii="Times New Roman" w:hAnsi="Times New Roman" w:cs="Times New Roman"/>
          <w:sz w:val="22"/>
          <w:szCs w:val="22"/>
          <w:vertAlign w:val="superscript"/>
          <w:lang w:val="en-GB"/>
        </w:rPr>
        <w:t>xxx</w:t>
      </w:r>
      <w:r w:rsidRPr="003A7E64">
        <w:rPr>
          <w:rFonts w:ascii="Times New Roman" w:hAnsi="Times New Roman" w:cs="Times New Roman"/>
          <w:sz w:val="22"/>
          <w:szCs w:val="22"/>
          <w:lang w:val="en-GB"/>
        </w:rPr>
        <w:t>Hg</w:t>
      </w:r>
      <w:proofErr w:type="spellEnd"/>
      <w:r w:rsidRPr="003A7E64">
        <w:rPr>
          <w:rFonts w:ascii="Times New Roman" w:hAnsi="Times New Roman" w:cs="Times New Roman"/>
          <w:sz w:val="22"/>
          <w:szCs w:val="22"/>
          <w:lang w:val="en-GB"/>
        </w:rPr>
        <w:t xml:space="preserve">, deviation from mass dependency in units of </w:t>
      </w:r>
      <w:proofErr w:type="spellStart"/>
      <w:r w:rsidRPr="003A7E64">
        <w:rPr>
          <w:rFonts w:ascii="Times New Roman" w:hAnsi="Times New Roman" w:cs="Times New Roman"/>
          <w:sz w:val="22"/>
          <w:szCs w:val="22"/>
          <w:lang w:val="en-GB"/>
        </w:rPr>
        <w:t>permil</w:t>
      </w:r>
      <w:proofErr w:type="spellEnd"/>
      <w:r w:rsidRPr="003A7E64">
        <w:rPr>
          <w:rFonts w:ascii="Times New Roman" w:hAnsi="Times New Roman" w:cs="Times New Roman"/>
          <w:sz w:val="22"/>
          <w:szCs w:val="22"/>
          <w:lang w:val="en-GB"/>
        </w:rPr>
        <w:t xml:space="preserve">, ‰) and is the difference between the measured </w:t>
      </w:r>
      <w:proofErr w:type="spellStart"/>
      <w:r w:rsidRPr="003A7E64">
        <w:rPr>
          <w:rFonts w:ascii="Times New Roman" w:hAnsi="Times New Roman" w:cs="Times New Roman"/>
          <w:sz w:val="22"/>
          <w:szCs w:val="22"/>
          <w:lang w:val="en-GB"/>
        </w:rPr>
        <w:t>Δ</w:t>
      </w:r>
      <w:r w:rsidRPr="003A7E64">
        <w:rPr>
          <w:rFonts w:ascii="Times New Roman" w:hAnsi="Times New Roman" w:cs="Times New Roman"/>
          <w:sz w:val="22"/>
          <w:szCs w:val="22"/>
          <w:vertAlign w:val="superscript"/>
          <w:lang w:val="en-GB"/>
        </w:rPr>
        <w:t>xxx</w:t>
      </w:r>
      <w:r w:rsidRPr="003A7E64">
        <w:rPr>
          <w:rFonts w:ascii="Times New Roman" w:hAnsi="Times New Roman" w:cs="Times New Roman"/>
          <w:sz w:val="22"/>
          <w:szCs w:val="22"/>
          <w:lang w:val="en-GB"/>
        </w:rPr>
        <w:t>Hg</w:t>
      </w:r>
      <w:proofErr w:type="spellEnd"/>
      <w:r w:rsidRPr="003A7E64">
        <w:rPr>
          <w:rFonts w:ascii="Times New Roman" w:hAnsi="Times New Roman" w:cs="Times New Roman"/>
          <w:sz w:val="22"/>
          <w:szCs w:val="22"/>
          <w:lang w:val="en-GB"/>
        </w:rPr>
        <w:t xml:space="preserve"> and the theoretically predicted </w:t>
      </w:r>
      <w:proofErr w:type="spellStart"/>
      <w:r w:rsidRPr="003A7E64">
        <w:rPr>
          <w:rFonts w:ascii="Times New Roman" w:hAnsi="Times New Roman" w:cs="Times New Roman"/>
          <w:sz w:val="22"/>
          <w:szCs w:val="22"/>
          <w:lang w:val="en-GB"/>
        </w:rPr>
        <w:t>Δ</w:t>
      </w:r>
      <w:r w:rsidRPr="003A7E64">
        <w:rPr>
          <w:rFonts w:ascii="Times New Roman" w:hAnsi="Times New Roman" w:cs="Times New Roman"/>
          <w:sz w:val="22"/>
          <w:szCs w:val="22"/>
          <w:vertAlign w:val="superscript"/>
          <w:lang w:val="en-GB"/>
        </w:rPr>
        <w:t>xxx</w:t>
      </w:r>
      <w:r w:rsidRPr="003A7E64">
        <w:rPr>
          <w:rFonts w:ascii="Times New Roman" w:hAnsi="Times New Roman" w:cs="Times New Roman"/>
          <w:sz w:val="22"/>
          <w:szCs w:val="22"/>
          <w:lang w:val="en-GB"/>
        </w:rPr>
        <w:t>Hg</w:t>
      </w:r>
      <w:proofErr w:type="spellEnd"/>
      <w:r w:rsidRPr="003A7E64">
        <w:rPr>
          <w:rFonts w:ascii="Times New Roman" w:hAnsi="Times New Roman" w:cs="Times New Roman"/>
          <w:sz w:val="22"/>
          <w:szCs w:val="22"/>
          <w:lang w:val="en-GB"/>
        </w:rPr>
        <w:t xml:space="preserve"> value using the following formula: </w:t>
      </w:r>
    </w:p>
    <w:p w:rsidR="00491E43" w:rsidRPr="003A7E64" w:rsidRDefault="00491E43" w:rsidP="00491E43">
      <w:pPr>
        <w:pStyle w:val="HTMLPreformatted"/>
        <w:spacing w:line="360" w:lineRule="auto"/>
        <w:jc w:val="center"/>
        <w:rPr>
          <w:rFonts w:ascii="Times New Roman" w:hAnsi="Times New Roman" w:cs="Times New Roman"/>
          <w:sz w:val="22"/>
          <w:szCs w:val="22"/>
          <w:lang w:val="en-GB"/>
        </w:rPr>
      </w:pPr>
      <w:proofErr w:type="spellStart"/>
      <w:r w:rsidRPr="003A7E64">
        <w:rPr>
          <w:rFonts w:ascii="Times New Roman" w:hAnsi="Times New Roman" w:cs="Times New Roman"/>
          <w:sz w:val="22"/>
          <w:szCs w:val="22"/>
          <w:lang w:val="en-GB"/>
        </w:rPr>
        <w:t>Δ</w:t>
      </w:r>
      <w:r w:rsidRPr="003A7E64">
        <w:rPr>
          <w:rFonts w:ascii="Times New Roman" w:hAnsi="Times New Roman" w:cs="Times New Roman"/>
          <w:sz w:val="22"/>
          <w:szCs w:val="22"/>
          <w:vertAlign w:val="superscript"/>
          <w:lang w:val="en-GB"/>
        </w:rPr>
        <w:t>xxx</w:t>
      </w:r>
      <w:r w:rsidRPr="003A7E64">
        <w:rPr>
          <w:rFonts w:ascii="Times New Roman" w:hAnsi="Times New Roman" w:cs="Times New Roman"/>
          <w:sz w:val="22"/>
          <w:szCs w:val="22"/>
          <w:lang w:val="en-GB"/>
        </w:rPr>
        <w:t>Hg</w:t>
      </w:r>
      <w:proofErr w:type="spellEnd"/>
      <w:r w:rsidRPr="003A7E64">
        <w:rPr>
          <w:rFonts w:ascii="Times New Roman" w:hAnsi="Times New Roman" w:cs="Times New Roman"/>
          <w:sz w:val="22"/>
          <w:szCs w:val="22"/>
          <w:lang w:val="en-GB"/>
        </w:rPr>
        <w:t xml:space="preserve"> ≈ </w:t>
      </w:r>
      <w:proofErr w:type="spellStart"/>
      <w:r w:rsidRPr="003A7E64">
        <w:rPr>
          <w:rFonts w:ascii="Times New Roman" w:hAnsi="Times New Roman" w:cs="Times New Roman"/>
          <w:sz w:val="22"/>
          <w:szCs w:val="22"/>
          <w:lang w:val="en-GB"/>
        </w:rPr>
        <w:t>δ</w:t>
      </w:r>
      <w:r w:rsidRPr="003A7E64">
        <w:rPr>
          <w:rFonts w:ascii="Times New Roman" w:hAnsi="Times New Roman" w:cs="Times New Roman"/>
          <w:sz w:val="22"/>
          <w:szCs w:val="22"/>
          <w:vertAlign w:val="superscript"/>
          <w:lang w:val="en-GB"/>
        </w:rPr>
        <w:t>xxx</w:t>
      </w:r>
      <w:r w:rsidRPr="003A7E64">
        <w:rPr>
          <w:rFonts w:ascii="Times New Roman" w:hAnsi="Times New Roman" w:cs="Times New Roman"/>
          <w:sz w:val="22"/>
          <w:szCs w:val="22"/>
          <w:lang w:val="en-GB"/>
        </w:rPr>
        <w:t>Hg</w:t>
      </w:r>
      <w:proofErr w:type="spellEnd"/>
      <w:r w:rsidRPr="003A7E64">
        <w:rPr>
          <w:rFonts w:ascii="Times New Roman" w:hAnsi="Times New Roman" w:cs="Times New Roman"/>
          <w:sz w:val="22"/>
          <w:szCs w:val="22"/>
          <w:lang w:val="en-GB"/>
        </w:rPr>
        <w:t xml:space="preserve"> - δ</w:t>
      </w:r>
      <w:r w:rsidRPr="003A7E64">
        <w:rPr>
          <w:rFonts w:ascii="Times New Roman" w:hAnsi="Times New Roman" w:cs="Times New Roman"/>
          <w:sz w:val="22"/>
          <w:szCs w:val="22"/>
          <w:vertAlign w:val="superscript"/>
          <w:lang w:val="en-GB"/>
        </w:rPr>
        <w:t>202</w:t>
      </w:r>
      <w:r w:rsidRPr="003A7E64">
        <w:rPr>
          <w:rFonts w:ascii="Times New Roman" w:hAnsi="Times New Roman" w:cs="Times New Roman"/>
          <w:sz w:val="22"/>
          <w:szCs w:val="22"/>
          <w:lang w:val="en-GB"/>
        </w:rPr>
        <w:t>Hg*β                 (2)</w:t>
      </w:r>
    </w:p>
    <w:p w:rsidR="00491E43" w:rsidRPr="003A7E64" w:rsidRDefault="00491E43" w:rsidP="00491E43">
      <w:pPr>
        <w:pStyle w:val="HTMLPreformatted"/>
        <w:spacing w:line="360" w:lineRule="auto"/>
        <w:rPr>
          <w:rFonts w:ascii="Times New Roman" w:hAnsi="Times New Roman" w:cs="Times New Roman"/>
          <w:sz w:val="22"/>
          <w:szCs w:val="22"/>
          <w:lang w:val="en-GB"/>
        </w:rPr>
      </w:pPr>
      <w:proofErr w:type="gramStart"/>
      <w:r w:rsidRPr="003A7E64">
        <w:rPr>
          <w:rFonts w:ascii="Times New Roman" w:hAnsi="Times New Roman" w:cs="Times New Roman"/>
          <w:sz w:val="22"/>
          <w:szCs w:val="22"/>
          <w:lang w:val="en-GB"/>
        </w:rPr>
        <w:t>where</w:t>
      </w:r>
      <w:proofErr w:type="gramEnd"/>
      <w:r w:rsidRPr="003A7E64">
        <w:rPr>
          <w:rFonts w:ascii="Times New Roman" w:hAnsi="Times New Roman" w:cs="Times New Roman"/>
          <w:sz w:val="22"/>
          <w:szCs w:val="22"/>
          <w:lang w:val="en-GB"/>
        </w:rPr>
        <w:t xml:space="preserve"> β is equal to 0.252 for </w:t>
      </w:r>
      <w:r w:rsidRPr="003A7E64">
        <w:rPr>
          <w:rFonts w:ascii="Times New Roman" w:hAnsi="Times New Roman" w:cs="Times New Roman"/>
          <w:sz w:val="22"/>
          <w:szCs w:val="22"/>
          <w:vertAlign w:val="superscript"/>
          <w:lang w:val="en-GB"/>
        </w:rPr>
        <w:t>199</w:t>
      </w:r>
      <w:r w:rsidRPr="003A7E64">
        <w:rPr>
          <w:rFonts w:ascii="Times New Roman" w:hAnsi="Times New Roman" w:cs="Times New Roman"/>
          <w:sz w:val="22"/>
          <w:szCs w:val="22"/>
          <w:lang w:val="en-GB"/>
        </w:rPr>
        <w:t xml:space="preserve">Hg, 0.5024 for </w:t>
      </w:r>
      <w:r w:rsidRPr="003A7E64">
        <w:rPr>
          <w:rFonts w:ascii="Times New Roman" w:hAnsi="Times New Roman" w:cs="Times New Roman"/>
          <w:sz w:val="22"/>
          <w:szCs w:val="22"/>
          <w:vertAlign w:val="superscript"/>
          <w:lang w:val="en-GB"/>
        </w:rPr>
        <w:t>200</w:t>
      </w:r>
      <w:r w:rsidRPr="003A7E64">
        <w:rPr>
          <w:rFonts w:ascii="Times New Roman" w:hAnsi="Times New Roman" w:cs="Times New Roman"/>
          <w:sz w:val="22"/>
          <w:szCs w:val="22"/>
          <w:lang w:val="en-GB"/>
        </w:rPr>
        <w:t xml:space="preserve">Hg, and 0.752 for </w:t>
      </w:r>
      <w:r w:rsidRPr="003A7E64">
        <w:rPr>
          <w:rFonts w:ascii="Times New Roman" w:hAnsi="Times New Roman" w:cs="Times New Roman"/>
          <w:sz w:val="22"/>
          <w:szCs w:val="22"/>
          <w:vertAlign w:val="superscript"/>
          <w:lang w:val="en-GB"/>
        </w:rPr>
        <w:t>201</w:t>
      </w:r>
      <w:r w:rsidRPr="003A7E64">
        <w:rPr>
          <w:rFonts w:ascii="Times New Roman" w:hAnsi="Times New Roman" w:cs="Times New Roman"/>
          <w:sz w:val="22"/>
          <w:szCs w:val="22"/>
          <w:lang w:val="en-GB"/>
        </w:rPr>
        <w:t xml:space="preserve">Hg, respectively </w:t>
      </w:r>
      <w:r w:rsidRPr="003A7E64">
        <w:rPr>
          <w:rFonts w:ascii="Times New Roman" w:hAnsi="Times New Roman" w:cs="Times New Roman"/>
          <w:sz w:val="22"/>
          <w:szCs w:val="22"/>
        </w:rPr>
        <w:t xml:space="preserve">(Blum and </w:t>
      </w:r>
      <w:proofErr w:type="spellStart"/>
      <w:r w:rsidRPr="003A7E64">
        <w:rPr>
          <w:rFonts w:ascii="Times New Roman" w:hAnsi="Times New Roman" w:cs="Times New Roman"/>
          <w:sz w:val="22"/>
          <w:szCs w:val="22"/>
        </w:rPr>
        <w:t>Bergquist</w:t>
      </w:r>
      <w:proofErr w:type="spellEnd"/>
      <w:r w:rsidRPr="003A7E64">
        <w:rPr>
          <w:rFonts w:ascii="Times New Roman" w:hAnsi="Times New Roman" w:cs="Times New Roman"/>
          <w:sz w:val="22"/>
          <w:szCs w:val="22"/>
        </w:rPr>
        <w:t>, 2007)</w:t>
      </w:r>
      <w:r w:rsidRPr="003A7E64">
        <w:rPr>
          <w:rFonts w:ascii="Times New Roman" w:hAnsi="Times New Roman" w:cs="Times New Roman"/>
          <w:sz w:val="22"/>
          <w:szCs w:val="22"/>
          <w:lang w:val="en-GB"/>
        </w:rPr>
        <w:t>.</w:t>
      </w:r>
    </w:p>
    <w:p w:rsidR="00491E43" w:rsidRPr="003A7E64" w:rsidRDefault="00491E43" w:rsidP="00491E43">
      <w:pPr>
        <w:pStyle w:val="HTMLPreformatted"/>
        <w:spacing w:line="360" w:lineRule="auto"/>
        <w:rPr>
          <w:rFonts w:ascii="Times New Roman" w:hAnsi="Times New Roman" w:cs="Times New Roman"/>
          <w:sz w:val="22"/>
          <w:szCs w:val="22"/>
          <w:lang w:val="en-GB"/>
        </w:rPr>
      </w:pPr>
      <w:r w:rsidRPr="003A7E64">
        <w:rPr>
          <w:rFonts w:ascii="Times New Roman" w:hAnsi="Times New Roman" w:cs="Times New Roman"/>
          <w:sz w:val="22"/>
          <w:szCs w:val="22"/>
          <w:lang w:val="en-GB"/>
        </w:rPr>
        <w:t>UM-</w:t>
      </w:r>
      <w:proofErr w:type="spellStart"/>
      <w:r w:rsidRPr="003A7E64">
        <w:rPr>
          <w:rFonts w:ascii="Times New Roman" w:hAnsi="Times New Roman" w:cs="Times New Roman"/>
          <w:sz w:val="22"/>
          <w:szCs w:val="22"/>
          <w:lang w:val="en-GB"/>
        </w:rPr>
        <w:t>Almadén</w:t>
      </w:r>
      <w:proofErr w:type="spellEnd"/>
      <w:r w:rsidRPr="003A7E64">
        <w:rPr>
          <w:rFonts w:ascii="Times New Roman" w:hAnsi="Times New Roman" w:cs="Times New Roman"/>
          <w:sz w:val="22"/>
          <w:szCs w:val="22"/>
          <w:lang w:val="en-GB"/>
        </w:rPr>
        <w:t xml:space="preserve"> solutions</w:t>
      </w:r>
      <w:r>
        <w:rPr>
          <w:rFonts w:ascii="Times New Roman" w:eastAsiaTheme="minorEastAsia" w:hAnsi="Times New Roman" w:cs="Times New Roman" w:hint="eastAsia"/>
          <w:sz w:val="22"/>
          <w:szCs w:val="22"/>
          <w:lang w:val="en-GB"/>
        </w:rPr>
        <w:t xml:space="preserve"> </w:t>
      </w:r>
      <w:r w:rsidRPr="003A7E64">
        <w:rPr>
          <w:rFonts w:ascii="Times New Roman" w:hAnsi="Times New Roman" w:cs="Times New Roman"/>
          <w:sz w:val="22"/>
          <w:szCs w:val="22"/>
          <w:lang w:val="en-GB"/>
        </w:rPr>
        <w:t>with different concentration of Hg were measured in every 10 samples. Data uncertainties reported in this study reflect the larger values of either the external precision of the replication of the UM-</w:t>
      </w:r>
      <w:proofErr w:type="spellStart"/>
      <w:r w:rsidRPr="003A7E64">
        <w:rPr>
          <w:rFonts w:ascii="Times New Roman" w:hAnsi="Times New Roman" w:cs="Times New Roman"/>
          <w:sz w:val="22"/>
          <w:szCs w:val="22"/>
          <w:lang w:val="en-GB"/>
        </w:rPr>
        <w:t>Almadén</w:t>
      </w:r>
      <w:proofErr w:type="spellEnd"/>
      <w:r w:rsidRPr="003A7E64">
        <w:rPr>
          <w:rFonts w:ascii="Times New Roman" w:hAnsi="Times New Roman" w:cs="Times New Roman"/>
          <w:sz w:val="22"/>
          <w:szCs w:val="22"/>
          <w:lang w:val="en-GB"/>
        </w:rPr>
        <w:t xml:space="preserve"> or the measurement uncertainty of standard reference materials. The overall average and uncertainty of all UM-</w:t>
      </w:r>
      <w:proofErr w:type="spellStart"/>
      <w:r w:rsidRPr="003A7E64">
        <w:rPr>
          <w:rFonts w:ascii="Times New Roman" w:hAnsi="Times New Roman" w:cs="Times New Roman"/>
          <w:sz w:val="22"/>
          <w:szCs w:val="22"/>
          <w:lang w:val="en-GB"/>
        </w:rPr>
        <w:t>Almadén</w:t>
      </w:r>
      <w:proofErr w:type="spellEnd"/>
      <w:r w:rsidRPr="003A7E64">
        <w:rPr>
          <w:rFonts w:ascii="Times New Roman" w:hAnsi="Times New Roman" w:cs="Times New Roman"/>
          <w:sz w:val="22"/>
          <w:szCs w:val="22"/>
          <w:lang w:val="en-GB"/>
        </w:rPr>
        <w:t xml:space="preserve"> measurements (δ</w:t>
      </w:r>
      <w:r w:rsidRPr="003A7E64">
        <w:rPr>
          <w:rFonts w:ascii="Times New Roman" w:hAnsi="Times New Roman" w:cs="Times New Roman"/>
          <w:sz w:val="22"/>
          <w:szCs w:val="22"/>
          <w:vertAlign w:val="superscript"/>
          <w:lang w:val="en-GB"/>
        </w:rPr>
        <w:t>202</w:t>
      </w:r>
      <w:r w:rsidRPr="003A7E64">
        <w:rPr>
          <w:rFonts w:ascii="Times New Roman" w:hAnsi="Times New Roman" w:cs="Times New Roman"/>
          <w:sz w:val="22"/>
          <w:szCs w:val="22"/>
          <w:lang w:val="en-GB"/>
        </w:rPr>
        <w:t>Hg: -0.52 ± 0.09‰; Δ</w:t>
      </w:r>
      <w:r w:rsidRPr="003A7E64">
        <w:rPr>
          <w:rFonts w:ascii="Times New Roman" w:hAnsi="Times New Roman" w:cs="Times New Roman"/>
          <w:sz w:val="22"/>
          <w:szCs w:val="22"/>
          <w:vertAlign w:val="superscript"/>
          <w:lang w:val="en-GB"/>
        </w:rPr>
        <w:t>199</w:t>
      </w:r>
      <w:r w:rsidRPr="003A7E64">
        <w:rPr>
          <w:rFonts w:ascii="Times New Roman" w:hAnsi="Times New Roman" w:cs="Times New Roman"/>
          <w:sz w:val="22"/>
          <w:szCs w:val="22"/>
          <w:lang w:val="en-GB"/>
        </w:rPr>
        <w:t>Hg: -0.01 ± 0.05‰; Δ</w:t>
      </w:r>
      <w:r w:rsidRPr="003A7E64">
        <w:rPr>
          <w:rFonts w:ascii="Times New Roman" w:hAnsi="Times New Roman" w:cs="Times New Roman"/>
          <w:sz w:val="22"/>
          <w:szCs w:val="22"/>
          <w:vertAlign w:val="superscript"/>
          <w:lang w:val="en-GB"/>
        </w:rPr>
        <w:t>200</w:t>
      </w:r>
      <w:r w:rsidRPr="003A7E64">
        <w:rPr>
          <w:rFonts w:ascii="Times New Roman" w:hAnsi="Times New Roman" w:cs="Times New Roman"/>
          <w:sz w:val="22"/>
          <w:szCs w:val="22"/>
          <w:lang w:val="en-GB"/>
        </w:rPr>
        <w:t>Hg: 0.00 ± 0.03‰;</w:t>
      </w:r>
      <w:r w:rsidRPr="003A7E64">
        <w:rPr>
          <w:rFonts w:ascii="Times New Roman" w:eastAsiaTheme="minorEastAsia" w:hAnsi="Times New Roman" w:cs="Times New Roman"/>
          <w:sz w:val="22"/>
          <w:szCs w:val="22"/>
          <w:lang w:val="en-GB"/>
        </w:rPr>
        <w:t xml:space="preserve"> </w:t>
      </w:r>
      <w:r w:rsidRPr="003A7E64">
        <w:rPr>
          <w:rFonts w:ascii="Times New Roman" w:hAnsi="Times New Roman" w:cs="Times New Roman"/>
          <w:sz w:val="22"/>
          <w:szCs w:val="22"/>
          <w:lang w:val="en-GB"/>
        </w:rPr>
        <w:t>Δ</w:t>
      </w:r>
      <w:r w:rsidRPr="003A7E64">
        <w:rPr>
          <w:rFonts w:ascii="Times New Roman" w:hAnsi="Times New Roman" w:cs="Times New Roman"/>
          <w:sz w:val="22"/>
          <w:szCs w:val="22"/>
          <w:vertAlign w:val="superscript"/>
          <w:lang w:val="en-GB"/>
        </w:rPr>
        <w:t>201</w:t>
      </w:r>
      <w:r w:rsidRPr="003A7E64">
        <w:rPr>
          <w:rFonts w:ascii="Times New Roman" w:hAnsi="Times New Roman" w:cs="Times New Roman"/>
          <w:sz w:val="22"/>
          <w:szCs w:val="22"/>
          <w:lang w:val="en-GB"/>
        </w:rPr>
        <w:t>Hg: 0.00 ± 0.05‰, 2σ, n=9) agreed well with previous studies</w:t>
      </w:r>
      <w:r>
        <w:rPr>
          <w:rFonts w:ascii="Times New Roman" w:eastAsiaTheme="minorEastAsia" w:hAnsi="Times New Roman" w:cs="Times New Roman" w:hint="eastAsia"/>
          <w:sz w:val="22"/>
          <w:szCs w:val="22"/>
          <w:lang w:val="en-GB"/>
        </w:rPr>
        <w:t xml:space="preserve"> </w:t>
      </w:r>
      <w:r w:rsidRPr="003A7E64">
        <w:rPr>
          <w:rFonts w:ascii="Times New Roman" w:hAnsi="Times New Roman" w:cs="Times New Roman"/>
          <w:sz w:val="22"/>
          <w:szCs w:val="22"/>
        </w:rPr>
        <w:t xml:space="preserve">(Blum and </w:t>
      </w:r>
      <w:proofErr w:type="spellStart"/>
      <w:r w:rsidRPr="003A7E64">
        <w:rPr>
          <w:rFonts w:ascii="Times New Roman" w:hAnsi="Times New Roman" w:cs="Times New Roman"/>
          <w:sz w:val="22"/>
          <w:szCs w:val="22"/>
        </w:rPr>
        <w:t>Bergquist</w:t>
      </w:r>
      <w:proofErr w:type="spellEnd"/>
      <w:r w:rsidRPr="003A7E64">
        <w:rPr>
          <w:rFonts w:ascii="Times New Roman" w:hAnsi="Times New Roman" w:cs="Times New Roman"/>
          <w:sz w:val="22"/>
          <w:szCs w:val="22"/>
        </w:rPr>
        <w:t>, 2007)</w:t>
      </w:r>
      <w:r w:rsidRPr="003A7E64">
        <w:rPr>
          <w:rFonts w:ascii="Times New Roman" w:hAnsi="Times New Roman" w:cs="Times New Roman"/>
          <w:sz w:val="22"/>
          <w:szCs w:val="22"/>
          <w:lang w:val="en-GB"/>
        </w:rPr>
        <w:t>. No static</w:t>
      </w:r>
      <w:r w:rsidRPr="003A7E64">
        <w:rPr>
          <w:rFonts w:ascii="Times New Roman" w:eastAsiaTheme="minorEastAsia" w:hAnsi="Times New Roman" w:cs="Times New Roman" w:hint="eastAsia"/>
          <w:sz w:val="22"/>
          <w:szCs w:val="22"/>
          <w:lang w:val="en-GB"/>
        </w:rPr>
        <w:t xml:space="preserve"> </w:t>
      </w:r>
      <w:r w:rsidRPr="003A7E64">
        <w:rPr>
          <w:rFonts w:ascii="Times New Roman" w:hAnsi="Times New Roman" w:cs="Times New Roman"/>
          <w:sz w:val="22"/>
          <w:szCs w:val="22"/>
          <w:lang w:val="en-GB"/>
        </w:rPr>
        <w:t>differences in Hg isotopic compositions were observed for UM-</w:t>
      </w:r>
      <w:proofErr w:type="spellStart"/>
      <w:r w:rsidRPr="003A7E64">
        <w:rPr>
          <w:rFonts w:ascii="Times New Roman" w:hAnsi="Times New Roman" w:cs="Times New Roman"/>
          <w:sz w:val="22"/>
          <w:szCs w:val="22"/>
          <w:lang w:val="en-GB"/>
        </w:rPr>
        <w:t>Almadén</w:t>
      </w:r>
      <w:proofErr w:type="spellEnd"/>
      <w:r w:rsidRPr="003A7E64">
        <w:rPr>
          <w:rFonts w:ascii="Times New Roman" w:hAnsi="Times New Roman" w:cs="Times New Roman"/>
          <w:sz w:val="22"/>
          <w:szCs w:val="22"/>
          <w:lang w:val="en-GB"/>
        </w:rPr>
        <w:t xml:space="preserve"> with different Hg concentrations (Table S3). Measurements of replicate digests of NIST-2711 (</w:t>
      </w:r>
      <w:r w:rsidRPr="003A7E64">
        <w:rPr>
          <w:rFonts w:ascii="Times New Roman" w:hAnsi="Times New Roman" w:cs="Times New Roman"/>
          <w:sz w:val="22"/>
          <w:szCs w:val="22"/>
        </w:rPr>
        <w:t>δ</w:t>
      </w:r>
      <w:r w:rsidRPr="003A7E64">
        <w:rPr>
          <w:rFonts w:ascii="Times New Roman" w:hAnsi="Times New Roman" w:cs="Times New Roman"/>
          <w:sz w:val="22"/>
          <w:szCs w:val="22"/>
          <w:vertAlign w:val="superscript"/>
        </w:rPr>
        <w:t>202</w:t>
      </w:r>
      <w:r w:rsidRPr="003A7E64">
        <w:rPr>
          <w:rFonts w:ascii="Times New Roman" w:hAnsi="Times New Roman" w:cs="Times New Roman"/>
          <w:sz w:val="22"/>
          <w:szCs w:val="22"/>
        </w:rPr>
        <w:t>Hg: -0.13±0.11‰; Δ</w:t>
      </w:r>
      <w:r w:rsidRPr="003A7E64">
        <w:rPr>
          <w:rFonts w:ascii="Times New Roman" w:hAnsi="Times New Roman" w:cs="Times New Roman"/>
          <w:sz w:val="22"/>
          <w:szCs w:val="22"/>
          <w:vertAlign w:val="superscript"/>
        </w:rPr>
        <w:t>199</w:t>
      </w:r>
      <w:r w:rsidRPr="003A7E64">
        <w:rPr>
          <w:rFonts w:ascii="Times New Roman" w:hAnsi="Times New Roman" w:cs="Times New Roman"/>
          <w:sz w:val="22"/>
          <w:szCs w:val="22"/>
        </w:rPr>
        <w:t xml:space="preserve">Hg: -0.16±0.09‰; </w:t>
      </w:r>
      <w:r w:rsidRPr="003A7E64">
        <w:rPr>
          <w:rFonts w:ascii="Times New Roman" w:hAnsi="Times New Roman" w:cs="Times New Roman"/>
          <w:sz w:val="22"/>
          <w:szCs w:val="22"/>
          <w:lang w:val="en-GB"/>
        </w:rPr>
        <w:t>Δ</w:t>
      </w:r>
      <w:r w:rsidRPr="003A7E64">
        <w:rPr>
          <w:rFonts w:ascii="Times New Roman" w:hAnsi="Times New Roman" w:cs="Times New Roman"/>
          <w:sz w:val="22"/>
          <w:szCs w:val="22"/>
          <w:vertAlign w:val="superscript"/>
          <w:lang w:val="en-GB"/>
        </w:rPr>
        <w:t>200</w:t>
      </w:r>
      <w:r w:rsidRPr="003A7E64">
        <w:rPr>
          <w:rFonts w:ascii="Times New Roman" w:hAnsi="Times New Roman" w:cs="Times New Roman"/>
          <w:sz w:val="22"/>
          <w:szCs w:val="22"/>
          <w:lang w:val="en-GB"/>
        </w:rPr>
        <w:t>Hg: -0.02 ± 0.03‰; Δ</w:t>
      </w:r>
      <w:r w:rsidRPr="003A7E64">
        <w:rPr>
          <w:rFonts w:ascii="Times New Roman" w:hAnsi="Times New Roman" w:cs="Times New Roman"/>
          <w:sz w:val="22"/>
          <w:szCs w:val="22"/>
          <w:vertAlign w:val="superscript"/>
          <w:lang w:val="en-GB"/>
        </w:rPr>
        <w:t>201</w:t>
      </w:r>
      <w:r w:rsidRPr="003A7E64">
        <w:rPr>
          <w:rFonts w:ascii="Times New Roman" w:hAnsi="Times New Roman" w:cs="Times New Roman"/>
          <w:sz w:val="22"/>
          <w:szCs w:val="22"/>
          <w:lang w:val="en-GB"/>
        </w:rPr>
        <w:t xml:space="preserve">Hg: -0.16 ± 0.04‰, 2σ, n = </w:t>
      </w:r>
      <w:r w:rsidRPr="003A7E64">
        <w:rPr>
          <w:rFonts w:ascii="Times New Roman" w:eastAsiaTheme="minorEastAsia" w:hAnsi="Times New Roman" w:cs="Times New Roman"/>
          <w:sz w:val="22"/>
          <w:szCs w:val="22"/>
          <w:lang w:val="en-GB"/>
        </w:rPr>
        <w:t>3</w:t>
      </w:r>
      <w:r w:rsidRPr="003A7E64">
        <w:rPr>
          <w:rFonts w:ascii="Times New Roman" w:hAnsi="Times New Roman" w:cs="Times New Roman"/>
          <w:sz w:val="22"/>
          <w:szCs w:val="22"/>
          <w:lang w:val="en-GB"/>
        </w:rPr>
        <w:t xml:space="preserve">) and </w:t>
      </w:r>
      <w:r w:rsidRPr="003A7E64">
        <w:rPr>
          <w:rFonts w:ascii="Times New Roman" w:eastAsia="SimHei" w:hAnsi="Times New Roman" w:cs="Times New Roman"/>
          <w:sz w:val="22"/>
          <w:szCs w:val="22"/>
        </w:rPr>
        <w:t>MESS-</w:t>
      </w:r>
      <w:r w:rsidRPr="003A7E64">
        <w:rPr>
          <w:rFonts w:ascii="Times New Roman" w:eastAsiaTheme="minorEastAsia" w:hAnsi="Times New Roman" w:cs="Times New Roman" w:hint="eastAsia"/>
          <w:sz w:val="22"/>
          <w:szCs w:val="22"/>
        </w:rPr>
        <w:t>1</w:t>
      </w:r>
      <w:r w:rsidRPr="003A7E64">
        <w:rPr>
          <w:rFonts w:ascii="Times New Roman" w:eastAsia="SimHei" w:hAnsi="Times New Roman" w:cs="Times New Roman"/>
          <w:sz w:val="22"/>
          <w:szCs w:val="22"/>
        </w:rPr>
        <w:t xml:space="preserve"> (δ</w:t>
      </w:r>
      <w:r w:rsidRPr="003A7E64">
        <w:rPr>
          <w:rFonts w:ascii="Times New Roman" w:eastAsia="SimHei" w:hAnsi="Times New Roman" w:cs="Times New Roman"/>
          <w:sz w:val="22"/>
          <w:szCs w:val="22"/>
          <w:vertAlign w:val="superscript"/>
        </w:rPr>
        <w:t>202</w:t>
      </w:r>
      <w:r w:rsidRPr="003A7E64">
        <w:rPr>
          <w:rFonts w:ascii="Times New Roman" w:eastAsia="SimHei" w:hAnsi="Times New Roman" w:cs="Times New Roman"/>
          <w:sz w:val="22"/>
          <w:szCs w:val="22"/>
        </w:rPr>
        <w:t>Hg -1.85±0.</w:t>
      </w:r>
      <w:r w:rsidRPr="003A7E64">
        <w:rPr>
          <w:rFonts w:ascii="Times New Roman" w:hAnsi="Times New Roman" w:cs="Times New Roman"/>
          <w:sz w:val="22"/>
          <w:szCs w:val="22"/>
        </w:rPr>
        <w:t>10</w:t>
      </w:r>
      <w:r w:rsidRPr="003A7E64">
        <w:rPr>
          <w:rFonts w:ascii="Times New Roman" w:eastAsia="SimHei" w:hAnsi="Times New Roman" w:cs="Times New Roman"/>
          <w:sz w:val="22"/>
          <w:szCs w:val="22"/>
        </w:rPr>
        <w:t>‰;</w:t>
      </w:r>
      <w:r w:rsidRPr="003A7E64">
        <w:rPr>
          <w:rFonts w:ascii="Times New Roman" w:hAnsi="Times New Roman" w:cs="Times New Roman"/>
          <w:sz w:val="22"/>
          <w:szCs w:val="22"/>
        </w:rPr>
        <w:t xml:space="preserve"> </w:t>
      </w:r>
      <w:r w:rsidRPr="003A7E64">
        <w:rPr>
          <w:rFonts w:ascii="Times New Roman" w:eastAsia="SimHei" w:hAnsi="Times New Roman" w:cs="Times New Roman"/>
          <w:sz w:val="22"/>
          <w:szCs w:val="22"/>
        </w:rPr>
        <w:t>Δ</w:t>
      </w:r>
      <w:r w:rsidRPr="003A7E64">
        <w:rPr>
          <w:rFonts w:ascii="Times New Roman" w:hAnsi="Times New Roman" w:cs="Times New Roman"/>
          <w:sz w:val="22"/>
          <w:szCs w:val="22"/>
          <w:vertAlign w:val="superscript"/>
        </w:rPr>
        <w:t>199</w:t>
      </w:r>
      <w:r w:rsidRPr="003A7E64">
        <w:rPr>
          <w:rFonts w:ascii="Times New Roman" w:eastAsia="SimHei" w:hAnsi="Times New Roman" w:cs="Times New Roman"/>
          <w:sz w:val="22"/>
          <w:szCs w:val="22"/>
        </w:rPr>
        <w:t>Hg 0.01±0.0</w:t>
      </w:r>
      <w:r w:rsidRPr="003A7E64">
        <w:rPr>
          <w:rFonts w:ascii="Times New Roman" w:hAnsi="Times New Roman" w:cs="Times New Roman"/>
          <w:sz w:val="22"/>
          <w:szCs w:val="22"/>
        </w:rPr>
        <w:t>6</w:t>
      </w:r>
      <w:r w:rsidRPr="003A7E64">
        <w:rPr>
          <w:rFonts w:ascii="Times New Roman" w:eastAsia="SimHei" w:hAnsi="Times New Roman" w:cs="Times New Roman"/>
          <w:sz w:val="22"/>
          <w:szCs w:val="22"/>
        </w:rPr>
        <w:t>‰;</w:t>
      </w:r>
      <w:r w:rsidRPr="003A7E64">
        <w:rPr>
          <w:rFonts w:ascii="Times New Roman" w:hAnsi="Times New Roman" w:cs="Times New Roman"/>
          <w:sz w:val="22"/>
          <w:szCs w:val="22"/>
          <w:lang w:val="en-GB"/>
        </w:rPr>
        <w:t xml:space="preserve"> Δ</w:t>
      </w:r>
      <w:r w:rsidRPr="003A7E64">
        <w:rPr>
          <w:rFonts w:ascii="Times New Roman" w:hAnsi="Times New Roman" w:cs="Times New Roman"/>
          <w:sz w:val="22"/>
          <w:szCs w:val="22"/>
          <w:vertAlign w:val="superscript"/>
          <w:lang w:val="en-GB"/>
        </w:rPr>
        <w:t>200</w:t>
      </w:r>
      <w:r w:rsidRPr="003A7E64">
        <w:rPr>
          <w:rFonts w:ascii="Times New Roman" w:hAnsi="Times New Roman" w:cs="Times New Roman"/>
          <w:sz w:val="22"/>
          <w:szCs w:val="22"/>
          <w:lang w:val="en-GB"/>
        </w:rPr>
        <w:t xml:space="preserve">Hg: 0.01 ± 0.03‰; </w:t>
      </w:r>
      <w:r w:rsidRPr="003A7E64">
        <w:rPr>
          <w:rFonts w:ascii="Times New Roman" w:eastAsia="SimHei" w:hAnsi="Times New Roman" w:cs="Times New Roman"/>
          <w:sz w:val="22"/>
          <w:szCs w:val="22"/>
        </w:rPr>
        <w:t>Δ</w:t>
      </w:r>
      <w:r w:rsidRPr="003A7E64">
        <w:rPr>
          <w:rFonts w:ascii="Times New Roman" w:eastAsia="SimHei" w:hAnsi="Times New Roman" w:cs="Times New Roman"/>
          <w:sz w:val="22"/>
          <w:szCs w:val="22"/>
          <w:vertAlign w:val="superscript"/>
        </w:rPr>
        <w:t>201</w:t>
      </w:r>
      <w:r w:rsidRPr="003A7E64">
        <w:rPr>
          <w:rFonts w:ascii="Times New Roman" w:eastAsia="SimHei" w:hAnsi="Times New Roman" w:cs="Times New Roman"/>
          <w:sz w:val="22"/>
          <w:szCs w:val="22"/>
        </w:rPr>
        <w:t>Hg 0.02±0.0</w:t>
      </w:r>
      <w:r w:rsidRPr="003A7E64">
        <w:rPr>
          <w:rFonts w:ascii="Times New Roman" w:hAnsi="Times New Roman" w:cs="Times New Roman"/>
          <w:sz w:val="22"/>
          <w:szCs w:val="22"/>
        </w:rPr>
        <w:t>5</w:t>
      </w:r>
      <w:r w:rsidRPr="003A7E64">
        <w:rPr>
          <w:rFonts w:ascii="Times New Roman" w:eastAsia="SimHei" w:hAnsi="Times New Roman" w:cs="Times New Roman"/>
          <w:sz w:val="22"/>
          <w:szCs w:val="22"/>
        </w:rPr>
        <w:t>‰;</w:t>
      </w:r>
      <w:r w:rsidRPr="003A7E64">
        <w:rPr>
          <w:rFonts w:ascii="Times New Roman" w:hAnsi="Times New Roman" w:cs="Times New Roman"/>
          <w:sz w:val="22"/>
          <w:szCs w:val="22"/>
        </w:rPr>
        <w:t xml:space="preserve"> 2</w:t>
      </w:r>
      <w:r w:rsidRPr="003A7E64">
        <w:rPr>
          <w:rFonts w:ascii="Times New Roman" w:hAnsi="Times New Roman" w:cs="Times New Roman"/>
          <w:sz w:val="22"/>
          <w:szCs w:val="22"/>
          <w:lang w:val="en-GB"/>
        </w:rPr>
        <w:t>σ, n=3</w:t>
      </w:r>
      <w:r w:rsidRPr="003A7E64">
        <w:rPr>
          <w:rFonts w:ascii="Times New Roman" w:eastAsia="SimHei" w:hAnsi="Times New Roman" w:cs="Times New Roman"/>
          <w:sz w:val="22"/>
          <w:szCs w:val="22"/>
        </w:rPr>
        <w:t>)</w:t>
      </w:r>
      <w:r w:rsidRPr="003A7E64">
        <w:rPr>
          <w:rFonts w:ascii="Times New Roman" w:hAnsi="Times New Roman" w:cs="Times New Roman"/>
          <w:sz w:val="22"/>
          <w:szCs w:val="22"/>
          <w:lang w:val="en-GB"/>
        </w:rPr>
        <w:t xml:space="preserve"> also agreed well with previous studies (</w:t>
      </w:r>
      <w:proofErr w:type="spellStart"/>
      <w:r w:rsidRPr="003A7E64">
        <w:rPr>
          <w:rFonts w:ascii="Times New Roman" w:hAnsi="Times New Roman" w:cs="Times New Roman"/>
          <w:sz w:val="22"/>
          <w:szCs w:val="22"/>
          <w:lang w:val="en-GB"/>
        </w:rPr>
        <w:t>Biswas</w:t>
      </w:r>
      <w:proofErr w:type="spellEnd"/>
      <w:r w:rsidRPr="003A7E64">
        <w:rPr>
          <w:rFonts w:ascii="Times New Roman" w:hAnsi="Times New Roman" w:cs="Times New Roman"/>
          <w:sz w:val="22"/>
          <w:szCs w:val="22"/>
          <w:lang w:val="en-GB"/>
        </w:rPr>
        <w:t xml:space="preserve"> et al., 2008; Donovan et al., 2013;Yin et al., 2014).</w:t>
      </w:r>
    </w:p>
    <w:p w:rsidR="00491E43" w:rsidRPr="003A7E64" w:rsidRDefault="00491E43" w:rsidP="00491E43">
      <w:pPr>
        <w:pStyle w:val="HTMLPreformatted"/>
        <w:spacing w:line="360" w:lineRule="auto"/>
        <w:rPr>
          <w:rFonts w:ascii="Times New Roman" w:hAnsi="Times New Roman" w:cs="Times New Roman"/>
          <w:sz w:val="22"/>
          <w:szCs w:val="22"/>
          <w:lang w:val="en-GB"/>
        </w:rPr>
      </w:pPr>
    </w:p>
    <w:p w:rsidR="00491E43" w:rsidRPr="003A7E64" w:rsidRDefault="00491E43" w:rsidP="00491E43">
      <w:pPr>
        <w:pStyle w:val="HTMLPreformatted"/>
        <w:spacing w:line="360" w:lineRule="auto"/>
        <w:rPr>
          <w:rFonts w:ascii="Times New Roman" w:hAnsi="Times New Roman" w:cs="Times New Roman"/>
          <w:sz w:val="22"/>
          <w:szCs w:val="22"/>
          <w:lang w:val="en-GB"/>
        </w:rPr>
      </w:pPr>
    </w:p>
    <w:p w:rsidR="00491E43" w:rsidRPr="003A7E64" w:rsidRDefault="00491E43" w:rsidP="00491E43">
      <w:pPr>
        <w:pStyle w:val="HTMLPreformatted"/>
        <w:spacing w:line="360" w:lineRule="auto"/>
        <w:outlineLvl w:val="0"/>
        <w:rPr>
          <w:rFonts w:ascii="Times New Roman" w:hAnsi="Times New Roman" w:cs="Times New Roman"/>
          <w:b/>
          <w:sz w:val="22"/>
          <w:szCs w:val="22"/>
          <w:lang w:val="en-GB"/>
        </w:rPr>
      </w:pPr>
      <w:r w:rsidRPr="003A7E64">
        <w:rPr>
          <w:rFonts w:ascii="Times New Roman" w:hAnsi="Times New Roman" w:cs="Times New Roman"/>
          <w:b/>
          <w:sz w:val="22"/>
          <w:szCs w:val="22"/>
          <w:lang w:val="en-GB"/>
        </w:rPr>
        <w:t>References</w:t>
      </w:r>
    </w:p>
    <w:p w:rsidR="00491E43" w:rsidRPr="003A7E64" w:rsidRDefault="00491E43" w:rsidP="00491E43">
      <w:pPr>
        <w:spacing w:line="360" w:lineRule="auto"/>
        <w:ind w:left="440" w:hangingChars="200" w:hanging="440"/>
        <w:rPr>
          <w:rFonts w:ascii="Times New Roman" w:hAnsi="Times New Roman" w:cs="Times New Roman"/>
          <w:sz w:val="22"/>
        </w:rPr>
      </w:pPr>
      <w:proofErr w:type="spellStart"/>
      <w:r w:rsidRPr="003A7E64">
        <w:rPr>
          <w:rFonts w:ascii="Times New Roman" w:hAnsi="Times New Roman" w:cs="Times New Roman"/>
          <w:sz w:val="22"/>
        </w:rPr>
        <w:t>Biswas</w:t>
      </w:r>
      <w:proofErr w:type="spellEnd"/>
      <w:r w:rsidRPr="003A7E64">
        <w:rPr>
          <w:rFonts w:ascii="Times New Roman" w:hAnsi="Times New Roman" w:cs="Times New Roman"/>
          <w:sz w:val="22"/>
        </w:rPr>
        <w:t xml:space="preserve"> A, Blum</w:t>
      </w:r>
      <w:r>
        <w:rPr>
          <w:rFonts w:ascii="Times New Roman" w:hAnsi="Times New Roman" w:cs="Times New Roman" w:hint="eastAsia"/>
          <w:sz w:val="22"/>
        </w:rPr>
        <w:t xml:space="preserve"> </w:t>
      </w:r>
      <w:r w:rsidRPr="003A7E64">
        <w:rPr>
          <w:rFonts w:ascii="Times New Roman" w:hAnsi="Times New Roman" w:cs="Times New Roman"/>
          <w:sz w:val="22"/>
        </w:rPr>
        <w:t xml:space="preserve">JD, </w:t>
      </w:r>
      <w:proofErr w:type="spellStart"/>
      <w:r w:rsidRPr="003A7E64">
        <w:rPr>
          <w:rFonts w:ascii="Times New Roman" w:hAnsi="Times New Roman" w:cs="Times New Roman"/>
          <w:sz w:val="22"/>
        </w:rPr>
        <w:t>Bergquist</w:t>
      </w:r>
      <w:proofErr w:type="spellEnd"/>
      <w:r w:rsidRPr="003A7E64">
        <w:rPr>
          <w:rFonts w:ascii="Times New Roman" w:hAnsi="Times New Roman" w:cs="Times New Roman"/>
          <w:sz w:val="22"/>
        </w:rPr>
        <w:t xml:space="preserve"> BA, et al. 2008. </w:t>
      </w:r>
      <w:proofErr w:type="gramStart"/>
      <w:r w:rsidRPr="003A7E64">
        <w:rPr>
          <w:rFonts w:ascii="Times New Roman" w:hAnsi="Times New Roman" w:cs="Times New Roman"/>
          <w:sz w:val="22"/>
        </w:rPr>
        <w:t>Natural mercury isotope variation in coal deposits and organic soils.</w:t>
      </w:r>
      <w:proofErr w:type="gramEnd"/>
      <w:r w:rsidRPr="003A7E64">
        <w:rPr>
          <w:rFonts w:ascii="Times New Roman" w:hAnsi="Times New Roman" w:cs="Times New Roman"/>
          <w:sz w:val="22"/>
        </w:rPr>
        <w:t xml:space="preserve"> Environ </w:t>
      </w:r>
      <w:proofErr w:type="spellStart"/>
      <w:r w:rsidRPr="003A7E64">
        <w:rPr>
          <w:rFonts w:ascii="Times New Roman" w:hAnsi="Times New Roman" w:cs="Times New Roman"/>
          <w:sz w:val="22"/>
        </w:rPr>
        <w:t>Sci</w:t>
      </w:r>
      <w:proofErr w:type="spellEnd"/>
      <w:r w:rsidRPr="003A7E64">
        <w:rPr>
          <w:rFonts w:ascii="Times New Roman" w:hAnsi="Times New Roman" w:cs="Times New Roman"/>
          <w:sz w:val="22"/>
        </w:rPr>
        <w:t xml:space="preserve"> </w:t>
      </w:r>
      <w:proofErr w:type="spellStart"/>
      <w:r w:rsidRPr="003A7E64">
        <w:rPr>
          <w:rFonts w:ascii="Times New Roman" w:hAnsi="Times New Roman" w:cs="Times New Roman"/>
          <w:sz w:val="22"/>
        </w:rPr>
        <w:t>Technol</w:t>
      </w:r>
      <w:proofErr w:type="spellEnd"/>
      <w:r w:rsidRPr="003A7E64">
        <w:rPr>
          <w:rFonts w:ascii="Times New Roman" w:hAnsi="Times New Roman" w:cs="Times New Roman"/>
          <w:sz w:val="22"/>
        </w:rPr>
        <w:t> 42(22): 8303-8309.</w:t>
      </w:r>
    </w:p>
    <w:p w:rsidR="00491E43" w:rsidRPr="003A7E64" w:rsidRDefault="00491E43" w:rsidP="00491E43">
      <w:pPr>
        <w:spacing w:line="360" w:lineRule="auto"/>
        <w:ind w:left="440" w:hangingChars="200" w:hanging="440"/>
        <w:rPr>
          <w:rFonts w:ascii="Times New Roman" w:hAnsi="Times New Roman" w:cs="Times New Roman"/>
          <w:sz w:val="22"/>
        </w:rPr>
      </w:pPr>
      <w:r w:rsidRPr="003A7E64">
        <w:rPr>
          <w:rFonts w:ascii="Times New Roman" w:hAnsi="Times New Roman" w:cs="Times New Roman"/>
          <w:sz w:val="22"/>
        </w:rPr>
        <w:t xml:space="preserve">Donovan PM, Blum JD, Yee D, et al. 2013. </w:t>
      </w:r>
      <w:proofErr w:type="gramStart"/>
      <w:r w:rsidRPr="003A7E64">
        <w:rPr>
          <w:rFonts w:ascii="Times New Roman" w:hAnsi="Times New Roman" w:cs="Times New Roman"/>
          <w:sz w:val="22"/>
        </w:rPr>
        <w:t>An isotopic record of mercury in San Francisco Bay sediment.</w:t>
      </w:r>
      <w:proofErr w:type="gramEnd"/>
      <w:r w:rsidRPr="003A7E64">
        <w:rPr>
          <w:rFonts w:ascii="Times New Roman" w:hAnsi="Times New Roman" w:cs="Times New Roman"/>
          <w:sz w:val="22"/>
        </w:rPr>
        <w:t> </w:t>
      </w:r>
      <w:proofErr w:type="spellStart"/>
      <w:r w:rsidRPr="003A7E64">
        <w:rPr>
          <w:rFonts w:ascii="Times New Roman" w:hAnsi="Times New Roman" w:cs="Times New Roman"/>
          <w:sz w:val="22"/>
        </w:rPr>
        <w:t>Chem</w:t>
      </w:r>
      <w:proofErr w:type="spellEnd"/>
      <w:r w:rsidRPr="003A7E64">
        <w:rPr>
          <w:rFonts w:ascii="Times New Roman" w:hAnsi="Times New Roman" w:cs="Times New Roman"/>
          <w:sz w:val="22"/>
        </w:rPr>
        <w:t xml:space="preserve"> </w:t>
      </w:r>
      <w:proofErr w:type="spellStart"/>
      <w:r w:rsidRPr="003A7E64">
        <w:rPr>
          <w:rFonts w:ascii="Times New Roman" w:hAnsi="Times New Roman" w:cs="Times New Roman"/>
          <w:sz w:val="22"/>
        </w:rPr>
        <w:t>Geol</w:t>
      </w:r>
      <w:proofErr w:type="spellEnd"/>
      <w:r w:rsidRPr="003A7E64">
        <w:rPr>
          <w:rFonts w:ascii="Times New Roman" w:hAnsi="Times New Roman" w:cs="Times New Roman"/>
          <w:sz w:val="22"/>
        </w:rPr>
        <w:t> 349: 87-98.</w:t>
      </w:r>
    </w:p>
    <w:p w:rsidR="00491E43" w:rsidRPr="003A7E64" w:rsidRDefault="00491E43" w:rsidP="00491E43">
      <w:pPr>
        <w:spacing w:line="360" w:lineRule="auto"/>
        <w:ind w:left="440" w:hangingChars="200" w:hanging="440"/>
        <w:rPr>
          <w:rFonts w:ascii="Times New Roman" w:hAnsi="Times New Roman" w:cs="Times New Roman"/>
          <w:sz w:val="22"/>
        </w:rPr>
      </w:pPr>
      <w:proofErr w:type="gramStart"/>
      <w:r w:rsidRPr="003A7E64">
        <w:rPr>
          <w:rFonts w:ascii="Times New Roman" w:hAnsi="Times New Roman" w:cs="Times New Roman"/>
          <w:sz w:val="22"/>
        </w:rPr>
        <w:t xml:space="preserve">Yin R, </w:t>
      </w:r>
      <w:proofErr w:type="spellStart"/>
      <w:r w:rsidRPr="003A7E64">
        <w:rPr>
          <w:rFonts w:ascii="Times New Roman" w:hAnsi="Times New Roman" w:cs="Times New Roman"/>
          <w:sz w:val="22"/>
        </w:rPr>
        <w:t>Feng</w:t>
      </w:r>
      <w:proofErr w:type="spellEnd"/>
      <w:r w:rsidRPr="003A7E64">
        <w:rPr>
          <w:rFonts w:ascii="Times New Roman" w:hAnsi="Times New Roman" w:cs="Times New Roman"/>
          <w:sz w:val="22"/>
        </w:rPr>
        <w:t xml:space="preserve"> X, Chen J. 2014.</w:t>
      </w:r>
      <w:proofErr w:type="gramEnd"/>
      <w:r w:rsidRPr="003A7E64">
        <w:rPr>
          <w:rFonts w:ascii="Times New Roman" w:hAnsi="Times New Roman" w:cs="Times New Roman"/>
          <w:sz w:val="22"/>
        </w:rPr>
        <w:t xml:space="preserve"> </w:t>
      </w:r>
      <w:proofErr w:type="gramStart"/>
      <w:r w:rsidRPr="003A7E64">
        <w:rPr>
          <w:rFonts w:ascii="Times New Roman" w:hAnsi="Times New Roman" w:cs="Times New Roman"/>
          <w:sz w:val="22"/>
        </w:rPr>
        <w:t>Mercury stable isotopic compositions in coals from major coal producing fields in China and their geochemical and environmental implications.</w:t>
      </w:r>
      <w:proofErr w:type="gramEnd"/>
      <w:r w:rsidRPr="003A7E64">
        <w:rPr>
          <w:rFonts w:ascii="Times New Roman" w:hAnsi="Times New Roman" w:cs="Times New Roman"/>
          <w:sz w:val="22"/>
        </w:rPr>
        <w:t xml:space="preserve"> Environ </w:t>
      </w:r>
      <w:proofErr w:type="spellStart"/>
      <w:r w:rsidRPr="003A7E64">
        <w:rPr>
          <w:rFonts w:ascii="Times New Roman" w:hAnsi="Times New Roman" w:cs="Times New Roman"/>
          <w:sz w:val="22"/>
        </w:rPr>
        <w:t>Sci</w:t>
      </w:r>
      <w:proofErr w:type="spellEnd"/>
      <w:r>
        <w:rPr>
          <w:rFonts w:ascii="Times New Roman" w:hAnsi="Times New Roman" w:cs="Times New Roman" w:hint="eastAsia"/>
          <w:sz w:val="22"/>
        </w:rPr>
        <w:t xml:space="preserve"> </w:t>
      </w:r>
      <w:proofErr w:type="spellStart"/>
      <w:r w:rsidRPr="003A7E64">
        <w:rPr>
          <w:rFonts w:ascii="Times New Roman" w:hAnsi="Times New Roman" w:cs="Times New Roman"/>
          <w:sz w:val="22"/>
        </w:rPr>
        <w:t>Technol</w:t>
      </w:r>
      <w:proofErr w:type="spellEnd"/>
      <w:r w:rsidRPr="003A7E64">
        <w:rPr>
          <w:rFonts w:ascii="Times New Roman" w:hAnsi="Times New Roman" w:cs="Times New Roman"/>
          <w:sz w:val="22"/>
        </w:rPr>
        <w:t> 48(10): 5565-5574.</w:t>
      </w:r>
    </w:p>
    <w:p w:rsidR="00430FA0" w:rsidRDefault="00491E43" w:rsidP="00491E43">
      <w:r w:rsidRPr="003A7E64">
        <w:rPr>
          <w:rFonts w:ascii="Times New Roman" w:hAnsi="Times New Roman" w:cs="Times New Roman"/>
          <w:sz w:val="22"/>
        </w:rPr>
        <w:t xml:space="preserve">Blum JD, </w:t>
      </w:r>
      <w:proofErr w:type="spellStart"/>
      <w:r w:rsidRPr="003A7E64">
        <w:rPr>
          <w:rFonts w:ascii="Times New Roman" w:hAnsi="Times New Roman" w:cs="Times New Roman"/>
          <w:sz w:val="22"/>
        </w:rPr>
        <w:t>Bergquist</w:t>
      </w:r>
      <w:proofErr w:type="spellEnd"/>
      <w:r>
        <w:rPr>
          <w:rFonts w:ascii="Times New Roman" w:hAnsi="Times New Roman" w:cs="Times New Roman" w:hint="eastAsia"/>
          <w:sz w:val="22"/>
        </w:rPr>
        <w:t xml:space="preserve"> </w:t>
      </w:r>
      <w:r w:rsidRPr="003A7E64">
        <w:rPr>
          <w:rFonts w:ascii="Times New Roman" w:hAnsi="Times New Roman" w:cs="Times New Roman"/>
          <w:sz w:val="22"/>
        </w:rPr>
        <w:t xml:space="preserve">BA. 2007. Reporting of variations in the natural isotopic composition of mercury. Anal </w:t>
      </w:r>
      <w:proofErr w:type="spellStart"/>
      <w:r w:rsidRPr="003A7E64">
        <w:rPr>
          <w:rFonts w:ascii="Times New Roman" w:hAnsi="Times New Roman" w:cs="Times New Roman"/>
          <w:sz w:val="22"/>
        </w:rPr>
        <w:t>Bioanal</w:t>
      </w:r>
      <w:proofErr w:type="spellEnd"/>
      <w:r w:rsidRPr="003A7E64">
        <w:rPr>
          <w:rFonts w:ascii="Times New Roman" w:hAnsi="Times New Roman" w:cs="Times New Roman"/>
          <w:sz w:val="22"/>
        </w:rPr>
        <w:t xml:space="preserve"> </w:t>
      </w:r>
      <w:proofErr w:type="spellStart"/>
      <w:r w:rsidRPr="003A7E64">
        <w:rPr>
          <w:rFonts w:ascii="Times New Roman" w:hAnsi="Times New Roman" w:cs="Times New Roman"/>
          <w:sz w:val="22"/>
        </w:rPr>
        <w:t>Chem</w:t>
      </w:r>
      <w:proofErr w:type="spellEnd"/>
      <w:r w:rsidRPr="003A7E64">
        <w:rPr>
          <w:rFonts w:ascii="Times New Roman" w:hAnsi="Times New Roman" w:cs="Times New Roman"/>
          <w:sz w:val="22"/>
        </w:rPr>
        <w:t xml:space="preserve"> 388(2): 353-359.</w:t>
      </w:r>
      <w:bookmarkStart w:id="0" w:name="_GoBack"/>
      <w:bookmarkEnd w:id="0"/>
    </w:p>
    <w:sectPr w:rsidR="00430FA0" w:rsidSect="00430F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imHei">
    <w:altName w:val="黑体"/>
    <w:charset w:val="86"/>
    <w:family w:val="modern"/>
    <w:pitch w:val="fixed"/>
    <w:sig w:usb0="800002BF" w:usb1="38CF7CFA" w:usb2="00000016" w:usb3="00000000" w:csb0="0004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3"/>
    <w:rsid w:val="00430FA0"/>
    <w:rsid w:val="0049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6A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43"/>
    <w:pPr>
      <w:widowControl w:val="0"/>
      <w:jc w:val="both"/>
    </w:pPr>
    <w:rPr>
      <w:rFonts w:ascii="Calibri" w:hAnsi="Calibri" w:cs="Arial"/>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1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491E43"/>
    <w:rPr>
      <w:rFonts w:ascii="SimSun" w:eastAsia="SimSun" w:hAnsi="SimSun" w:cs="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43"/>
    <w:pPr>
      <w:widowControl w:val="0"/>
      <w:jc w:val="both"/>
    </w:pPr>
    <w:rPr>
      <w:rFonts w:ascii="Calibri" w:hAnsi="Calibri" w:cs="Arial"/>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1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491E43"/>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Macintosh Word</Application>
  <DocSecurity>0</DocSecurity>
  <Lines>41</Lines>
  <Paragraphs>11</Paragraphs>
  <ScaleCrop>false</ScaleCrop>
  <Company>Dartmouth College</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Hladik</dc:creator>
  <cp:keywords/>
  <dc:description/>
  <cp:lastModifiedBy>Liba Hladik</cp:lastModifiedBy>
  <cp:revision>1</cp:revision>
  <dcterms:created xsi:type="dcterms:W3CDTF">2016-01-06T22:47:00Z</dcterms:created>
  <dcterms:modified xsi:type="dcterms:W3CDTF">2016-01-06T22:48:00Z</dcterms:modified>
</cp:coreProperties>
</file>