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68CD" w14:textId="4197BBC1" w:rsidR="00FD2A49" w:rsidRPr="00436786" w:rsidRDefault="008B2D0B" w:rsidP="007C049A">
      <w:pPr>
        <w:rPr>
          <w:rFonts w:ascii="Times New Roman" w:hAnsi="Times New Roman" w:cs="Times New Roman"/>
        </w:rPr>
      </w:pPr>
      <w:r>
        <w:rPr>
          <w:rFonts w:ascii="Times New Roman" w:hAnsi="Times New Roman" w:cs="Times New Roman"/>
        </w:rPr>
        <w:t>Text S1</w:t>
      </w:r>
      <w:bookmarkStart w:id="0" w:name="_GoBack"/>
      <w:bookmarkEnd w:id="0"/>
      <w:r w:rsidR="007958E7">
        <w:rPr>
          <w:rFonts w:ascii="Times New Roman" w:hAnsi="Times New Roman" w:cs="Times New Roman"/>
        </w:rPr>
        <w:t>:</w:t>
      </w:r>
      <w:r w:rsidR="00DE3D75">
        <w:rPr>
          <w:rFonts w:ascii="Times New Roman" w:hAnsi="Times New Roman" w:cs="Times New Roman"/>
        </w:rPr>
        <w:t xml:space="preserve"> </w:t>
      </w:r>
      <w:r w:rsidR="00436786" w:rsidRPr="00436786">
        <w:rPr>
          <w:rFonts w:ascii="Times New Roman" w:hAnsi="Times New Roman" w:cs="Times New Roman"/>
        </w:rPr>
        <w:t xml:space="preserve">Details of </w:t>
      </w:r>
      <w:r w:rsidR="00FD2A49" w:rsidRPr="00436786">
        <w:rPr>
          <w:rFonts w:ascii="Times New Roman" w:hAnsi="Times New Roman" w:cs="Times New Roman"/>
        </w:rPr>
        <w:t>Sampling Fog Water at Sea</w:t>
      </w:r>
      <w:r w:rsidR="00436786" w:rsidRPr="00436786">
        <w:rPr>
          <w:rFonts w:ascii="Times New Roman" w:hAnsi="Times New Roman" w:cs="Times New Roman"/>
        </w:rPr>
        <w:t xml:space="preserve">, </w:t>
      </w:r>
      <w:r w:rsidR="007C049A">
        <w:rPr>
          <w:rFonts w:ascii="Times New Roman" w:hAnsi="Times New Roman" w:cs="Times New Roman"/>
        </w:rPr>
        <w:t xml:space="preserve">Seawater </w:t>
      </w:r>
      <w:r w:rsidR="00436786" w:rsidRPr="00436786">
        <w:rPr>
          <w:rFonts w:ascii="Times New Roman" w:hAnsi="Times New Roman" w:cs="Times New Roman"/>
        </w:rPr>
        <w:t xml:space="preserve">Incubation, and </w:t>
      </w:r>
      <w:proofErr w:type="spellStart"/>
      <w:r w:rsidR="00436786" w:rsidRPr="00436786">
        <w:rPr>
          <w:rFonts w:ascii="Times New Roman" w:hAnsi="Times New Roman" w:cs="Times New Roman"/>
        </w:rPr>
        <w:t>Microlayer</w:t>
      </w:r>
      <w:proofErr w:type="spellEnd"/>
      <w:r w:rsidR="007C049A">
        <w:rPr>
          <w:rFonts w:ascii="Times New Roman" w:hAnsi="Times New Roman" w:cs="Times New Roman"/>
        </w:rPr>
        <w:t xml:space="preserve"> Sample Collection</w:t>
      </w:r>
      <w:r w:rsidR="00436786" w:rsidRPr="00436786">
        <w:rPr>
          <w:rFonts w:ascii="Times New Roman" w:hAnsi="Times New Roman" w:cs="Times New Roman"/>
        </w:rPr>
        <w:t xml:space="preserve"> Experiments</w:t>
      </w:r>
    </w:p>
    <w:p w14:paraId="4A0B9456" w14:textId="5D4706E3" w:rsidR="00FD2A49" w:rsidRPr="00627683" w:rsidRDefault="00FD2A49" w:rsidP="00FD2A49">
      <w:pPr>
        <w:ind w:firstLine="720"/>
        <w:rPr>
          <w:rFonts w:ascii="Times New Roman" w:hAnsi="Times New Roman" w:cs="Times New Roman"/>
        </w:rPr>
      </w:pPr>
      <w:r w:rsidRPr="00627683">
        <w:rPr>
          <w:rFonts w:ascii="Times New Roman" w:hAnsi="Times New Roman" w:cs="Times New Roman"/>
        </w:rPr>
        <w:t>This section describes the mounting configurations, operational methodologies and tactical sampling considerations for the at-sea fog water sampling during this program.</w:t>
      </w:r>
      <w:r w:rsidR="008A64D8">
        <w:rPr>
          <w:rFonts w:ascii="Times New Roman" w:hAnsi="Times New Roman" w:cs="Times New Roman"/>
        </w:rPr>
        <w:t xml:space="preserve">  Also described are the acid incubation and </w:t>
      </w:r>
      <w:proofErr w:type="spellStart"/>
      <w:r w:rsidR="008A64D8">
        <w:rPr>
          <w:rFonts w:ascii="Times New Roman" w:hAnsi="Times New Roman" w:cs="Times New Roman"/>
        </w:rPr>
        <w:t>microlayer</w:t>
      </w:r>
      <w:proofErr w:type="spellEnd"/>
      <w:r w:rsidR="008A64D8">
        <w:rPr>
          <w:rFonts w:ascii="Times New Roman" w:hAnsi="Times New Roman" w:cs="Times New Roman"/>
        </w:rPr>
        <w:t xml:space="preserve"> measurements</w:t>
      </w:r>
      <w:r w:rsidR="00DE4FB4">
        <w:rPr>
          <w:rFonts w:ascii="Times New Roman" w:hAnsi="Times New Roman" w:cs="Times New Roman"/>
        </w:rPr>
        <w:t xml:space="preserve"> of </w:t>
      </w:r>
      <w:proofErr w:type="spellStart"/>
      <w:r w:rsidR="00DE4FB4">
        <w:rPr>
          <w:rFonts w:ascii="Times New Roman" w:hAnsi="Times New Roman" w:cs="Times New Roman"/>
        </w:rPr>
        <w:t>MMHg</w:t>
      </w:r>
      <w:proofErr w:type="spellEnd"/>
      <w:r w:rsidR="008A64D8">
        <w:rPr>
          <w:rFonts w:ascii="Times New Roman" w:hAnsi="Times New Roman" w:cs="Times New Roman"/>
        </w:rPr>
        <w:t>.</w:t>
      </w:r>
    </w:p>
    <w:p w14:paraId="5FF57E42" w14:textId="77777777" w:rsidR="00FD2A49" w:rsidRPr="00627683" w:rsidRDefault="00FD2A49" w:rsidP="00FD2A49">
      <w:pPr>
        <w:ind w:firstLine="720"/>
        <w:rPr>
          <w:rFonts w:ascii="Times New Roman" w:hAnsi="Times New Roman" w:cs="Times New Roman"/>
        </w:rPr>
      </w:pPr>
      <w:r w:rsidRPr="00627683">
        <w:rPr>
          <w:rFonts w:ascii="Times New Roman" w:hAnsi="Times New Roman" w:cs="Times New Roman"/>
        </w:rPr>
        <w:t xml:space="preserve">R/V </w:t>
      </w:r>
      <w:r w:rsidRPr="00627683">
        <w:rPr>
          <w:rFonts w:ascii="Times New Roman" w:hAnsi="Times New Roman" w:cs="Times New Roman"/>
          <w:i/>
        </w:rPr>
        <w:t>Point Sur</w:t>
      </w:r>
    </w:p>
    <w:p w14:paraId="67F98DC7" w14:textId="77777777" w:rsidR="00FD2A49" w:rsidRPr="00627683" w:rsidRDefault="00FD2A49" w:rsidP="00FD2A49">
      <w:pPr>
        <w:rPr>
          <w:rFonts w:ascii="Times New Roman" w:hAnsi="Times New Roman" w:cs="Times New Roman"/>
        </w:rPr>
      </w:pPr>
      <w:r w:rsidRPr="00627683">
        <w:rPr>
          <w:rFonts w:ascii="Times New Roman" w:hAnsi="Times New Roman" w:cs="Times New Roman"/>
        </w:rPr>
        <w:t xml:space="preserve"> </w:t>
      </w:r>
      <w:r w:rsidRPr="00627683">
        <w:rPr>
          <w:rFonts w:ascii="Times New Roman" w:hAnsi="Times New Roman" w:cs="Times New Roman"/>
        </w:rPr>
        <w:tab/>
        <w:t xml:space="preserve">The R/V </w:t>
      </w:r>
      <w:r w:rsidRPr="00627683">
        <w:rPr>
          <w:rFonts w:ascii="Times New Roman" w:hAnsi="Times New Roman" w:cs="Times New Roman"/>
          <w:i/>
        </w:rPr>
        <w:t>Point Sur</w:t>
      </w:r>
      <w:r w:rsidRPr="00627683">
        <w:rPr>
          <w:rFonts w:ascii="Times New Roman" w:hAnsi="Times New Roman" w:cs="Times New Roman"/>
        </w:rPr>
        <w:t xml:space="preserve"> is a 135 foot, </w:t>
      </w:r>
      <w:proofErr w:type="gramStart"/>
      <w:r w:rsidRPr="00627683">
        <w:rPr>
          <w:rFonts w:ascii="Times New Roman" w:hAnsi="Times New Roman" w:cs="Times New Roman"/>
        </w:rPr>
        <w:t>500 ton</w:t>
      </w:r>
      <w:proofErr w:type="gramEnd"/>
      <w:r w:rsidRPr="00627683">
        <w:rPr>
          <w:rFonts w:ascii="Times New Roman" w:hAnsi="Times New Roman" w:cs="Times New Roman"/>
        </w:rPr>
        <w:t xml:space="preserve"> Regional Class Research Vessel with the wheel house towards the midpoint of the vessel. On the R/V </w:t>
      </w:r>
      <w:r w:rsidRPr="00627683">
        <w:rPr>
          <w:rFonts w:ascii="Times New Roman" w:hAnsi="Times New Roman" w:cs="Times New Roman"/>
          <w:i/>
        </w:rPr>
        <w:t>Point Sur</w:t>
      </w:r>
      <w:r w:rsidRPr="00627683">
        <w:rPr>
          <w:rFonts w:ascii="Times New Roman" w:hAnsi="Times New Roman" w:cs="Times New Roman"/>
        </w:rPr>
        <w:t xml:space="preserve">, sufficient bow space allowed for the placement of a sampling tower 3 meters aft of the bow of the vessel, yet forward of the wheel house (Figure S-3).  The tower was constructed of two Rhone 25G sections.  The tower was hinged at the base and supported a stainless steel plate adapter at the top.  The active strand collector was mounted to the stainless steel adapter and the galvanized tower was supported by three stainless steel guy cables, secured to the bulwarks and tightened using turnbuckles.  The freeboard at this location was about 5 meters and the tower extended another 6 meters above this resulting in a sampler height of about 11 meters above the water.  This placed the sampler about 20 meters forward of the ship’s stacks.  </w:t>
      </w:r>
    </w:p>
    <w:p w14:paraId="6BC10965" w14:textId="77777777" w:rsidR="00FD2A49" w:rsidRPr="00627683" w:rsidRDefault="00FD2A49" w:rsidP="00FD2A49">
      <w:pPr>
        <w:ind w:firstLine="720"/>
        <w:rPr>
          <w:rFonts w:ascii="Times New Roman" w:hAnsi="Times New Roman" w:cs="Times New Roman"/>
        </w:rPr>
      </w:pPr>
      <w:r w:rsidRPr="00627683">
        <w:rPr>
          <w:rFonts w:ascii="Times New Roman" w:hAnsi="Times New Roman" w:cs="Times New Roman"/>
        </w:rPr>
        <w:t xml:space="preserve">R/V </w:t>
      </w:r>
      <w:r w:rsidRPr="00627683">
        <w:rPr>
          <w:rFonts w:ascii="Times New Roman" w:hAnsi="Times New Roman" w:cs="Times New Roman"/>
          <w:i/>
        </w:rPr>
        <w:t>Robert Gordon Sproul</w:t>
      </w:r>
    </w:p>
    <w:p w14:paraId="67925C6D" w14:textId="77777777" w:rsidR="00FD2A49" w:rsidRPr="00627683" w:rsidRDefault="00FD2A49" w:rsidP="00FD2A49">
      <w:pPr>
        <w:rPr>
          <w:rFonts w:ascii="Times New Roman" w:hAnsi="Times New Roman" w:cs="Times New Roman"/>
        </w:rPr>
      </w:pPr>
      <w:r w:rsidRPr="00627683">
        <w:rPr>
          <w:rFonts w:ascii="Times New Roman" w:hAnsi="Times New Roman" w:cs="Times New Roman"/>
        </w:rPr>
        <w:tab/>
        <w:t xml:space="preserve">The R/V </w:t>
      </w:r>
      <w:r w:rsidRPr="00627683">
        <w:rPr>
          <w:rFonts w:ascii="Times New Roman" w:hAnsi="Times New Roman" w:cs="Times New Roman"/>
          <w:i/>
        </w:rPr>
        <w:t>Sproul</w:t>
      </w:r>
      <w:r w:rsidRPr="00627683">
        <w:rPr>
          <w:rFonts w:ascii="Times New Roman" w:hAnsi="Times New Roman" w:cs="Times New Roman"/>
        </w:rPr>
        <w:t xml:space="preserve"> is a 125 foot, 700 </w:t>
      </w:r>
      <w:proofErr w:type="gramStart"/>
      <w:r w:rsidRPr="00627683">
        <w:rPr>
          <w:rFonts w:ascii="Times New Roman" w:hAnsi="Times New Roman" w:cs="Times New Roman"/>
        </w:rPr>
        <w:t>ton</w:t>
      </w:r>
      <w:proofErr w:type="gramEnd"/>
      <w:r w:rsidRPr="00627683">
        <w:rPr>
          <w:rFonts w:ascii="Times New Roman" w:hAnsi="Times New Roman" w:cs="Times New Roman"/>
        </w:rPr>
        <w:t xml:space="preserve">, converted drilling re-supply vessel, now Coastal Class research vessel (mud-boat).  The wheel house is far forward which accommodates a large and low fantail.  There is insufficient space on the bow to mount a tower.  On the R/V </w:t>
      </w:r>
      <w:r w:rsidRPr="00627683">
        <w:rPr>
          <w:rFonts w:ascii="Times New Roman" w:hAnsi="Times New Roman" w:cs="Times New Roman"/>
          <w:i/>
        </w:rPr>
        <w:t>Sproul</w:t>
      </w:r>
      <w:r w:rsidRPr="00627683">
        <w:rPr>
          <w:rFonts w:ascii="Times New Roman" w:hAnsi="Times New Roman" w:cs="Times New Roman"/>
        </w:rPr>
        <w:t xml:space="preserve">, the active strand sampler was mounted to the ship’s mast above the wheel house (Figure S-4).  A stand was fitted to the stainless steel base and supported by </w:t>
      </w:r>
      <w:proofErr w:type="spellStart"/>
      <w:r w:rsidRPr="00627683">
        <w:rPr>
          <w:rFonts w:ascii="Times New Roman" w:hAnsi="Times New Roman" w:cs="Times New Roman"/>
        </w:rPr>
        <w:t>Unistrut</w:t>
      </w:r>
      <w:proofErr w:type="spellEnd"/>
      <w:r w:rsidRPr="00627683">
        <w:rPr>
          <w:rFonts w:ascii="Times New Roman" w:hAnsi="Times New Roman" w:cs="Times New Roman"/>
        </w:rPr>
        <w:t xml:space="preserve"> affixed to the ship’s mast about 2 meters above, and just forward of, the wheel house.  In this location, the sampler was approximately 7 meters above the water and about 9 meters forward of the ship’s stacks. At this time, the R/V </w:t>
      </w:r>
      <w:r w:rsidRPr="00627683">
        <w:rPr>
          <w:rFonts w:ascii="Times New Roman" w:hAnsi="Times New Roman" w:cs="Times New Roman"/>
          <w:i/>
        </w:rPr>
        <w:t xml:space="preserve">Sproul </w:t>
      </w:r>
      <w:r w:rsidRPr="00627683">
        <w:rPr>
          <w:rFonts w:ascii="Times New Roman" w:hAnsi="Times New Roman" w:cs="Times New Roman"/>
        </w:rPr>
        <w:t>was burning biodiesel as a primary fuel.</w:t>
      </w:r>
    </w:p>
    <w:p w14:paraId="74F0C1CC" w14:textId="77777777" w:rsidR="00FD2A49" w:rsidRPr="00627683" w:rsidRDefault="00FD2A49" w:rsidP="00FD2A49">
      <w:pPr>
        <w:ind w:firstLine="720"/>
        <w:rPr>
          <w:rFonts w:ascii="Times New Roman" w:hAnsi="Times New Roman" w:cs="Times New Roman"/>
        </w:rPr>
      </w:pPr>
      <w:r w:rsidRPr="00627683">
        <w:rPr>
          <w:rFonts w:ascii="Times New Roman" w:hAnsi="Times New Roman" w:cs="Times New Roman"/>
        </w:rPr>
        <w:t xml:space="preserve">R/V </w:t>
      </w:r>
      <w:r w:rsidRPr="00627683">
        <w:rPr>
          <w:rFonts w:ascii="Times New Roman" w:hAnsi="Times New Roman" w:cs="Times New Roman"/>
          <w:i/>
        </w:rPr>
        <w:t>Oceanus</w:t>
      </w:r>
    </w:p>
    <w:p w14:paraId="7EE40FFA" w14:textId="5C59311B" w:rsidR="00FD2A49" w:rsidRPr="00627683" w:rsidRDefault="00FD2A49" w:rsidP="00FD2A49">
      <w:pPr>
        <w:rPr>
          <w:rFonts w:ascii="Times New Roman" w:hAnsi="Times New Roman" w:cs="Times New Roman"/>
        </w:rPr>
      </w:pPr>
      <w:r w:rsidRPr="00627683">
        <w:rPr>
          <w:rFonts w:ascii="Times New Roman" w:hAnsi="Times New Roman" w:cs="Times New Roman"/>
        </w:rPr>
        <w:tab/>
        <w:t xml:space="preserve">The R/V </w:t>
      </w:r>
      <w:r w:rsidRPr="00627683">
        <w:rPr>
          <w:rFonts w:ascii="Times New Roman" w:hAnsi="Times New Roman" w:cs="Times New Roman"/>
          <w:i/>
        </w:rPr>
        <w:t>Oceanus</w:t>
      </w:r>
      <w:r w:rsidRPr="00627683">
        <w:rPr>
          <w:rFonts w:ascii="Times New Roman" w:hAnsi="Times New Roman" w:cs="Times New Roman"/>
        </w:rPr>
        <w:t xml:space="preserve"> is a 177 foot, </w:t>
      </w:r>
      <w:proofErr w:type="gramStart"/>
      <w:r w:rsidRPr="00627683">
        <w:rPr>
          <w:rFonts w:ascii="Times New Roman" w:hAnsi="Times New Roman" w:cs="Times New Roman"/>
        </w:rPr>
        <w:t>960 ton</w:t>
      </w:r>
      <w:proofErr w:type="gramEnd"/>
      <w:r w:rsidRPr="00627683">
        <w:rPr>
          <w:rFonts w:ascii="Times New Roman" w:hAnsi="Times New Roman" w:cs="Times New Roman"/>
        </w:rPr>
        <w:t xml:space="preserve"> Ocean Class research vessel with the wheel house in the front 1/3 of the vessel and a reconfigured stack just aft of the wheel house.  The bow was obstructed by an existing, bow-mounted MET tower constructed of a single pole which precluded at-sea access but also collected water droplets that could be blown into a sampler mounted immediately aft of the pole.  The active strand sampler was affixed to the top of the wheel house and protruded slightly forward of the lifeline rails.  Here, the sampler was located about 8 meters forward and 5 meters below the ship’s stacks.</w:t>
      </w:r>
    </w:p>
    <w:p w14:paraId="10365820" w14:textId="77777777" w:rsidR="00E16BA8" w:rsidRPr="006A28FF" w:rsidRDefault="00E16BA8">
      <w:pPr>
        <w:rPr>
          <w:rFonts w:ascii="Times New Roman" w:hAnsi="Times New Roman" w:cs="Times New Roman"/>
          <w:i/>
        </w:rPr>
      </w:pPr>
      <w:r w:rsidRPr="006A28FF">
        <w:rPr>
          <w:rFonts w:ascii="Times New Roman" w:hAnsi="Times New Roman" w:cs="Times New Roman"/>
          <w:i/>
        </w:rPr>
        <w:tab/>
        <w:t>Sea water incubation experiments</w:t>
      </w:r>
    </w:p>
    <w:p w14:paraId="03D26318" w14:textId="15311794" w:rsidR="00E16BA8" w:rsidRDefault="00E16BA8" w:rsidP="00DE4FB4">
      <w:pPr>
        <w:widowControl w:val="0"/>
        <w:autoSpaceDE w:val="0"/>
        <w:autoSpaceDN w:val="0"/>
        <w:adjustRightInd w:val="0"/>
        <w:rPr>
          <w:rFonts w:ascii="Times New Roman" w:hAnsi="Times New Roman"/>
          <w:lang w:eastAsia="ja-JP"/>
        </w:rPr>
      </w:pPr>
      <w:r>
        <w:rPr>
          <w:rFonts w:ascii="Times New Roman" w:hAnsi="Times New Roman" w:cs="Times New Roman"/>
        </w:rPr>
        <w:tab/>
      </w:r>
      <w:r w:rsidRPr="00F91E63">
        <w:rPr>
          <w:rFonts w:ascii="Times New Roman" w:hAnsi="Times New Roman"/>
          <w:lang w:eastAsia="ja-JP"/>
        </w:rPr>
        <w:t xml:space="preserve">To test for potential </w:t>
      </w:r>
      <w:proofErr w:type="spellStart"/>
      <w:r w:rsidRPr="00F91E63">
        <w:rPr>
          <w:rFonts w:ascii="Times New Roman" w:hAnsi="Times New Roman"/>
          <w:lang w:eastAsia="ja-JP"/>
        </w:rPr>
        <w:t>demethylation</w:t>
      </w:r>
      <w:proofErr w:type="spellEnd"/>
      <w:r w:rsidRPr="00F91E63">
        <w:rPr>
          <w:rFonts w:ascii="Times New Roman" w:hAnsi="Times New Roman"/>
          <w:lang w:eastAsia="ja-JP"/>
        </w:rPr>
        <w:t xml:space="preserve"> of </w:t>
      </w:r>
      <w:proofErr w:type="spellStart"/>
      <w:r w:rsidRPr="00F91E63">
        <w:rPr>
          <w:rFonts w:ascii="Times New Roman" w:hAnsi="Times New Roman"/>
          <w:lang w:eastAsia="ja-JP"/>
        </w:rPr>
        <w:t>DMH</w:t>
      </w:r>
      <w:r>
        <w:rPr>
          <w:rFonts w:ascii="Times New Roman" w:hAnsi="Times New Roman"/>
          <w:lang w:eastAsia="ja-JP"/>
        </w:rPr>
        <w:t>g</w:t>
      </w:r>
      <w:proofErr w:type="spellEnd"/>
      <w:r>
        <w:rPr>
          <w:rFonts w:ascii="Times New Roman" w:hAnsi="Times New Roman"/>
          <w:lang w:eastAsia="ja-JP"/>
        </w:rPr>
        <w:t xml:space="preserve"> under acidic conditions, seawater was taken from the Moss Landing Marine Laboratory </w:t>
      </w:r>
      <w:proofErr w:type="spellStart"/>
      <w:r>
        <w:rPr>
          <w:rFonts w:ascii="Times New Roman" w:hAnsi="Times New Roman"/>
          <w:lang w:eastAsia="ja-JP"/>
        </w:rPr>
        <w:t>pumphouse</w:t>
      </w:r>
      <w:proofErr w:type="spellEnd"/>
      <w:r>
        <w:rPr>
          <w:rFonts w:ascii="Times New Roman" w:hAnsi="Times New Roman"/>
          <w:lang w:eastAsia="ja-JP"/>
        </w:rPr>
        <w:t xml:space="preserve"> and put into two carboys.  One of these carboys was acidified to pH = 5.2 and the other was </w:t>
      </w:r>
      <w:proofErr w:type="spellStart"/>
      <w:r>
        <w:rPr>
          <w:rFonts w:ascii="Times New Roman" w:hAnsi="Times New Roman"/>
          <w:lang w:eastAsia="ja-JP"/>
        </w:rPr>
        <w:t>unacidified</w:t>
      </w:r>
      <w:proofErr w:type="spellEnd"/>
      <w:r>
        <w:rPr>
          <w:rFonts w:ascii="Times New Roman" w:hAnsi="Times New Roman"/>
          <w:lang w:eastAsia="ja-JP"/>
        </w:rPr>
        <w:t xml:space="preserve">.  Six samples were taken from each carboy.  Three </w:t>
      </w:r>
      <w:r w:rsidRPr="00F91E63">
        <w:rPr>
          <w:rFonts w:ascii="Times New Roman" w:hAnsi="Times New Roman"/>
          <w:lang w:eastAsia="ja-JP"/>
        </w:rPr>
        <w:t>were incubated under</w:t>
      </w:r>
      <w:r>
        <w:rPr>
          <w:rFonts w:ascii="Times New Roman" w:hAnsi="Times New Roman"/>
          <w:lang w:eastAsia="ja-JP"/>
        </w:rPr>
        <w:t xml:space="preserve"> natural</w:t>
      </w:r>
      <w:r w:rsidRPr="00F91E63">
        <w:rPr>
          <w:rFonts w:ascii="Times New Roman" w:hAnsi="Times New Roman"/>
          <w:lang w:eastAsia="ja-JP"/>
        </w:rPr>
        <w:t xml:space="preserve"> light </w:t>
      </w:r>
      <w:r>
        <w:rPr>
          <w:rFonts w:ascii="Times New Roman" w:hAnsi="Times New Roman"/>
          <w:lang w:eastAsia="ja-JP"/>
        </w:rPr>
        <w:t xml:space="preserve">conditions in an outdoor incubator for 6 hours and three were incubated in the dark for 6 hours.  </w:t>
      </w:r>
      <w:r w:rsidR="00F73534">
        <w:rPr>
          <w:rFonts w:ascii="Times New Roman" w:hAnsi="Times New Roman"/>
          <w:lang w:eastAsia="ja-JP"/>
        </w:rPr>
        <w:t xml:space="preserve">At the end of this time the samples were analyzed for </w:t>
      </w:r>
      <w:proofErr w:type="spellStart"/>
      <w:r w:rsidR="00F73534">
        <w:rPr>
          <w:rFonts w:ascii="Times New Roman" w:hAnsi="Times New Roman"/>
          <w:lang w:eastAsia="ja-JP"/>
        </w:rPr>
        <w:t>MMHg</w:t>
      </w:r>
      <w:proofErr w:type="spellEnd"/>
      <w:r w:rsidR="00F73534">
        <w:rPr>
          <w:rFonts w:ascii="Times New Roman" w:hAnsi="Times New Roman"/>
          <w:lang w:eastAsia="ja-JP"/>
        </w:rPr>
        <w:t xml:space="preserve"> according to</w:t>
      </w:r>
      <w:r w:rsidR="00DE4FB4" w:rsidRPr="00DE4FB4">
        <w:rPr>
          <w:rFonts w:ascii="Times New Roman" w:hAnsi="Times New Roman"/>
          <w:lang w:eastAsia="ja-JP"/>
        </w:rPr>
        <w:t xml:space="preserve"> </w:t>
      </w:r>
      <w:r w:rsidR="00DE4FB4">
        <w:rPr>
          <w:rFonts w:ascii="Times New Roman" w:hAnsi="Times New Roman"/>
          <w:lang w:eastAsia="ja-JP"/>
        </w:rPr>
        <w:t xml:space="preserve">methods given in </w:t>
      </w:r>
      <w:proofErr w:type="spellStart"/>
      <w:r w:rsidR="00DE4FB4" w:rsidRPr="00F91E63">
        <w:rPr>
          <w:rFonts w:ascii="Times New Roman" w:hAnsi="Times New Roman"/>
          <w:lang w:eastAsia="ja-JP"/>
        </w:rPr>
        <w:t>Hammerschmidt</w:t>
      </w:r>
      <w:proofErr w:type="spellEnd"/>
      <w:r w:rsidR="00DE4FB4" w:rsidRPr="00F91E63">
        <w:rPr>
          <w:rFonts w:ascii="Times New Roman" w:hAnsi="Times New Roman"/>
          <w:lang w:eastAsia="ja-JP"/>
        </w:rPr>
        <w:t xml:space="preserve"> et </w:t>
      </w:r>
      <w:r w:rsidR="00DE4FB4">
        <w:rPr>
          <w:rFonts w:ascii="Times New Roman" w:hAnsi="Times New Roman"/>
          <w:lang w:eastAsia="ja-JP"/>
        </w:rPr>
        <w:t xml:space="preserve">al. (2011) and </w:t>
      </w:r>
      <w:proofErr w:type="spellStart"/>
      <w:r w:rsidR="00DE4FB4">
        <w:rPr>
          <w:rFonts w:ascii="Times New Roman" w:hAnsi="Times New Roman"/>
          <w:lang w:eastAsia="ja-JP"/>
        </w:rPr>
        <w:t>Lamborg</w:t>
      </w:r>
      <w:proofErr w:type="spellEnd"/>
      <w:r w:rsidR="00DE4FB4">
        <w:rPr>
          <w:rFonts w:ascii="Times New Roman" w:hAnsi="Times New Roman"/>
          <w:lang w:eastAsia="ja-JP"/>
        </w:rPr>
        <w:t xml:space="preserve"> et al. (2012).  </w:t>
      </w:r>
    </w:p>
    <w:p w14:paraId="5437F3FB" w14:textId="77777777" w:rsidR="008A64D8" w:rsidRPr="006A28FF" w:rsidRDefault="00E16BA8">
      <w:pPr>
        <w:rPr>
          <w:rFonts w:ascii="Times New Roman" w:hAnsi="Times New Roman"/>
          <w:i/>
          <w:lang w:eastAsia="ja-JP"/>
        </w:rPr>
      </w:pPr>
      <w:r w:rsidRPr="006A28FF">
        <w:rPr>
          <w:rFonts w:ascii="Times New Roman" w:hAnsi="Times New Roman"/>
          <w:i/>
          <w:lang w:eastAsia="ja-JP"/>
        </w:rPr>
        <w:tab/>
      </w:r>
      <w:proofErr w:type="spellStart"/>
      <w:r w:rsidRPr="006A28FF">
        <w:rPr>
          <w:rFonts w:ascii="Times New Roman" w:hAnsi="Times New Roman"/>
          <w:i/>
          <w:lang w:eastAsia="ja-JP"/>
        </w:rPr>
        <w:t>Microlayer</w:t>
      </w:r>
      <w:proofErr w:type="spellEnd"/>
      <w:r w:rsidRPr="006A28FF">
        <w:rPr>
          <w:rFonts w:ascii="Times New Roman" w:hAnsi="Times New Roman"/>
          <w:i/>
          <w:lang w:eastAsia="ja-JP"/>
        </w:rPr>
        <w:t xml:space="preserve"> measurements of </w:t>
      </w:r>
      <w:proofErr w:type="spellStart"/>
      <w:r w:rsidRPr="006A28FF">
        <w:rPr>
          <w:rFonts w:ascii="Times New Roman" w:hAnsi="Times New Roman"/>
          <w:i/>
          <w:lang w:eastAsia="ja-JP"/>
        </w:rPr>
        <w:t>MMHg</w:t>
      </w:r>
      <w:proofErr w:type="spellEnd"/>
    </w:p>
    <w:p w14:paraId="3D7386CC" w14:textId="23DAA58A" w:rsidR="00DE4FB4" w:rsidRDefault="008A64D8" w:rsidP="00DE4FB4">
      <w:pPr>
        <w:widowControl w:val="0"/>
        <w:autoSpaceDE w:val="0"/>
        <w:autoSpaceDN w:val="0"/>
        <w:adjustRightInd w:val="0"/>
        <w:rPr>
          <w:rFonts w:ascii="Times New Roman" w:hAnsi="Times New Roman" w:cs="Times New Roman"/>
        </w:rPr>
      </w:pPr>
      <w:r>
        <w:rPr>
          <w:rFonts w:ascii="Times New Roman" w:hAnsi="Times New Roman"/>
          <w:lang w:eastAsia="ja-JP"/>
        </w:rPr>
        <w:tab/>
      </w:r>
      <w:r w:rsidRPr="00F91E63">
        <w:rPr>
          <w:rFonts w:ascii="Times New Roman" w:hAnsi="Times New Roman"/>
          <w:lang w:eastAsia="ja-JP"/>
        </w:rPr>
        <w:t xml:space="preserve">Surface </w:t>
      </w:r>
      <w:proofErr w:type="spellStart"/>
      <w:r w:rsidRPr="00F91E63">
        <w:rPr>
          <w:rFonts w:ascii="Times New Roman" w:hAnsi="Times New Roman"/>
          <w:lang w:eastAsia="ja-JP"/>
        </w:rPr>
        <w:t>microlayer</w:t>
      </w:r>
      <w:proofErr w:type="spellEnd"/>
      <w:r w:rsidRPr="00F91E63">
        <w:rPr>
          <w:rFonts w:ascii="Times New Roman" w:hAnsi="Times New Roman"/>
          <w:lang w:eastAsia="ja-JP"/>
        </w:rPr>
        <w:t xml:space="preserve"> samples were collected using the glass plate method in its original form (Harvey and </w:t>
      </w:r>
      <w:proofErr w:type="spellStart"/>
      <w:r w:rsidRPr="00F91E63">
        <w:rPr>
          <w:rFonts w:ascii="Times New Roman" w:hAnsi="Times New Roman"/>
          <w:lang w:eastAsia="ja-JP"/>
        </w:rPr>
        <w:t>Bruzell</w:t>
      </w:r>
      <w:proofErr w:type="spellEnd"/>
      <w:r w:rsidRPr="00F91E63">
        <w:rPr>
          <w:rFonts w:ascii="Times New Roman" w:hAnsi="Times New Roman"/>
          <w:lang w:eastAsia="ja-JP"/>
        </w:rPr>
        <w:t xml:space="preserve">, 1972) and as modified by </w:t>
      </w:r>
      <w:proofErr w:type="spellStart"/>
      <w:r w:rsidRPr="00F91E63">
        <w:rPr>
          <w:rFonts w:ascii="Times New Roman" w:hAnsi="Times New Roman"/>
          <w:lang w:eastAsia="ja-JP"/>
        </w:rPr>
        <w:t>Ebling</w:t>
      </w:r>
      <w:proofErr w:type="spellEnd"/>
      <w:r w:rsidRPr="00F91E63">
        <w:rPr>
          <w:rFonts w:ascii="Times New Roman" w:hAnsi="Times New Roman"/>
          <w:lang w:eastAsia="ja-JP"/>
        </w:rPr>
        <w:t xml:space="preserve"> and Landing (2015).  In </w:t>
      </w:r>
      <w:proofErr w:type="gramStart"/>
      <w:r w:rsidRPr="00F91E63">
        <w:rPr>
          <w:rFonts w:ascii="Times New Roman" w:hAnsi="Times New Roman"/>
          <w:lang w:eastAsia="ja-JP"/>
        </w:rPr>
        <w:t>addition</w:t>
      </w:r>
      <w:proofErr w:type="gramEnd"/>
      <w:r w:rsidRPr="00F91E63">
        <w:rPr>
          <w:rFonts w:ascii="Times New Roman" w:hAnsi="Times New Roman"/>
          <w:lang w:eastAsia="ja-JP"/>
        </w:rPr>
        <w:t xml:space="preserve"> a</w:t>
      </w:r>
      <w:r>
        <w:rPr>
          <w:rFonts w:ascii="Times New Roman" w:hAnsi="Times New Roman"/>
          <w:lang w:eastAsia="ja-JP"/>
        </w:rPr>
        <w:t xml:space="preserve"> dipping device consisting of 7.</w:t>
      </w:r>
      <w:r w:rsidRPr="00F91E63">
        <w:rPr>
          <w:rFonts w:ascii="Times New Roman" w:hAnsi="Times New Roman"/>
          <w:lang w:eastAsia="ja-JP"/>
        </w:rPr>
        <w:t>3 cm diameter by 50 cm in length borosilicate glass tubes was also tested.  All three methods were used and yielded similar concentrations</w:t>
      </w:r>
      <w:r>
        <w:rPr>
          <w:rFonts w:ascii="Times New Roman" w:hAnsi="Times New Roman"/>
          <w:lang w:eastAsia="ja-JP"/>
        </w:rPr>
        <w:t xml:space="preserve"> of </w:t>
      </w:r>
      <w:proofErr w:type="spellStart"/>
      <w:r>
        <w:rPr>
          <w:rFonts w:ascii="Times New Roman" w:hAnsi="Times New Roman"/>
          <w:lang w:eastAsia="ja-JP"/>
        </w:rPr>
        <w:t>MMHg</w:t>
      </w:r>
      <w:proofErr w:type="spellEnd"/>
      <w:r w:rsidRPr="00F91E63">
        <w:rPr>
          <w:rFonts w:ascii="Times New Roman" w:hAnsi="Times New Roman"/>
          <w:lang w:eastAsia="ja-JP"/>
        </w:rPr>
        <w:t xml:space="preserve">.  Acid cleaned glass plates (or tubes) were dipped into seawater from the bow of an inflatable boat moving slowing into the wind. Blanks were determined from MQ water rinses of the sampling devices.   Samples were collected into cleaned borosilicate bottles (200 mL) and stored acidified for </w:t>
      </w:r>
      <w:proofErr w:type="spellStart"/>
      <w:r w:rsidRPr="00F91E63">
        <w:rPr>
          <w:rFonts w:ascii="Times New Roman" w:hAnsi="Times New Roman"/>
          <w:lang w:eastAsia="ja-JP"/>
        </w:rPr>
        <w:t>methylmercury</w:t>
      </w:r>
      <w:proofErr w:type="spellEnd"/>
      <w:r w:rsidRPr="00F91E63">
        <w:rPr>
          <w:rFonts w:ascii="Times New Roman" w:hAnsi="Times New Roman"/>
          <w:lang w:eastAsia="ja-JP"/>
        </w:rPr>
        <w:t xml:space="preserve"> analysis ashore. </w:t>
      </w:r>
      <w:r w:rsidR="00E16BA8">
        <w:rPr>
          <w:rFonts w:ascii="Times New Roman" w:hAnsi="Times New Roman"/>
          <w:lang w:eastAsia="ja-JP"/>
        </w:rPr>
        <w:t xml:space="preserve"> </w:t>
      </w:r>
      <w:r w:rsidR="00DE4FB4" w:rsidRPr="00F91E63">
        <w:rPr>
          <w:rFonts w:ascii="Times New Roman" w:hAnsi="Times New Roman"/>
          <w:lang w:eastAsia="ja-JP"/>
        </w:rPr>
        <w:t xml:space="preserve">Methods for mercury sampling and analysis follow </w:t>
      </w:r>
      <w:proofErr w:type="spellStart"/>
      <w:r w:rsidR="00DE4FB4" w:rsidRPr="00F91E63">
        <w:rPr>
          <w:rFonts w:ascii="Times New Roman" w:hAnsi="Times New Roman"/>
          <w:lang w:eastAsia="ja-JP"/>
        </w:rPr>
        <w:t>Hammerschmidt</w:t>
      </w:r>
      <w:proofErr w:type="spellEnd"/>
      <w:r w:rsidR="00DE4FB4" w:rsidRPr="00F91E63">
        <w:rPr>
          <w:rFonts w:ascii="Times New Roman" w:hAnsi="Times New Roman"/>
          <w:lang w:eastAsia="ja-JP"/>
        </w:rPr>
        <w:t xml:space="preserve"> et </w:t>
      </w:r>
      <w:r w:rsidR="00DE4FB4">
        <w:rPr>
          <w:rFonts w:ascii="Times New Roman" w:hAnsi="Times New Roman"/>
          <w:lang w:eastAsia="ja-JP"/>
        </w:rPr>
        <w:t xml:space="preserve">al. (2011) and </w:t>
      </w:r>
      <w:proofErr w:type="spellStart"/>
      <w:r w:rsidR="00DE4FB4">
        <w:rPr>
          <w:rFonts w:ascii="Times New Roman" w:hAnsi="Times New Roman"/>
          <w:lang w:eastAsia="ja-JP"/>
        </w:rPr>
        <w:t>Lamborg</w:t>
      </w:r>
      <w:proofErr w:type="spellEnd"/>
      <w:r w:rsidR="00DE4FB4">
        <w:rPr>
          <w:rFonts w:ascii="Times New Roman" w:hAnsi="Times New Roman"/>
          <w:lang w:eastAsia="ja-JP"/>
        </w:rPr>
        <w:t xml:space="preserve"> et al. (2012).  </w:t>
      </w:r>
    </w:p>
    <w:p w14:paraId="27BFB728" w14:textId="77777777" w:rsidR="00DE3D75" w:rsidRDefault="00DE3D75" w:rsidP="008A64D8">
      <w:pPr>
        <w:rPr>
          <w:rFonts w:ascii="Times New Roman" w:hAnsi="Times New Roman" w:cs="Times New Roman"/>
        </w:rPr>
      </w:pPr>
    </w:p>
    <w:p w14:paraId="1B2FCE8F" w14:textId="70471060" w:rsidR="008A64D8" w:rsidRDefault="008A64D8" w:rsidP="008A64D8">
      <w:pPr>
        <w:rPr>
          <w:rFonts w:ascii="Times New Roman" w:hAnsi="Times New Roman" w:cs="Times New Roman"/>
        </w:rPr>
      </w:pPr>
      <w:r>
        <w:rPr>
          <w:rFonts w:ascii="Times New Roman" w:hAnsi="Times New Roman" w:cs="Times New Roman"/>
        </w:rPr>
        <w:lastRenderedPageBreak/>
        <w:t>References</w:t>
      </w:r>
    </w:p>
    <w:p w14:paraId="134A9846" w14:textId="77777777" w:rsidR="008A64D8" w:rsidRPr="005E70AD" w:rsidRDefault="008A64D8" w:rsidP="008A64D8">
      <w:pPr>
        <w:widowControl w:val="0"/>
        <w:autoSpaceDE w:val="0"/>
        <w:autoSpaceDN w:val="0"/>
        <w:adjustRightInd w:val="0"/>
        <w:rPr>
          <w:rFonts w:ascii="Times New Roman" w:hAnsi="Times New Roman" w:cs="Times New Roman"/>
          <w:lang w:eastAsia="ja-JP"/>
        </w:rPr>
      </w:pPr>
      <w:proofErr w:type="spellStart"/>
      <w:r w:rsidRPr="005E70AD">
        <w:rPr>
          <w:rFonts w:ascii="Times New Roman" w:hAnsi="Times New Roman" w:cs="Times New Roman"/>
          <w:color w:val="1C1C1C"/>
          <w:lang w:eastAsia="ja-JP"/>
        </w:rPr>
        <w:t>Ebling</w:t>
      </w:r>
      <w:proofErr w:type="spellEnd"/>
      <w:r w:rsidRPr="005E70AD">
        <w:rPr>
          <w:rFonts w:ascii="Times New Roman" w:hAnsi="Times New Roman" w:cs="Times New Roman"/>
          <w:color w:val="1C1C1C"/>
          <w:lang w:eastAsia="ja-JP"/>
        </w:rPr>
        <w:t xml:space="preserve">, A. M., &amp; Landing, W. M. (2015). Sampling and analysis of the sea surface </w:t>
      </w:r>
      <w:proofErr w:type="spellStart"/>
      <w:r w:rsidRPr="005E70AD">
        <w:rPr>
          <w:rFonts w:ascii="Times New Roman" w:hAnsi="Times New Roman" w:cs="Times New Roman"/>
          <w:color w:val="1C1C1C"/>
          <w:lang w:eastAsia="ja-JP"/>
        </w:rPr>
        <w:t>microlayer</w:t>
      </w:r>
      <w:proofErr w:type="spellEnd"/>
      <w:r w:rsidRPr="005E70AD">
        <w:rPr>
          <w:rFonts w:ascii="Times New Roman" w:hAnsi="Times New Roman" w:cs="Times New Roman"/>
          <w:color w:val="1C1C1C"/>
          <w:lang w:eastAsia="ja-JP"/>
        </w:rPr>
        <w:t xml:space="preserve"> for dissolved and particulate trace elements. </w:t>
      </w:r>
      <w:r w:rsidRPr="005E70AD">
        <w:rPr>
          <w:rFonts w:ascii="Times New Roman" w:hAnsi="Times New Roman" w:cs="Times New Roman"/>
          <w:i/>
          <w:iCs/>
          <w:color w:val="1C1C1C"/>
          <w:lang w:eastAsia="ja-JP"/>
        </w:rPr>
        <w:t>Marine Chemistry</w:t>
      </w:r>
      <w:r w:rsidRPr="005E70AD">
        <w:rPr>
          <w:rFonts w:ascii="Times New Roman" w:hAnsi="Times New Roman" w:cs="Times New Roman"/>
          <w:color w:val="1C1C1C"/>
          <w:lang w:eastAsia="ja-JP"/>
        </w:rPr>
        <w:t>.</w:t>
      </w:r>
    </w:p>
    <w:p w14:paraId="2FC077BE" w14:textId="77777777" w:rsidR="008A64D8" w:rsidRPr="005E70AD" w:rsidRDefault="008A64D8" w:rsidP="008A64D8">
      <w:pPr>
        <w:rPr>
          <w:rFonts w:ascii="Times New Roman" w:hAnsi="Times New Roman" w:cs="Times New Roman"/>
        </w:rPr>
      </w:pPr>
      <w:r w:rsidRPr="005E70AD">
        <w:rPr>
          <w:rFonts w:ascii="Times New Roman" w:hAnsi="Times New Roman" w:cs="Times New Roman"/>
          <w:color w:val="1C1C1C"/>
          <w:lang w:eastAsia="ja-JP"/>
        </w:rPr>
        <w:t xml:space="preserve">Harvey, G. W. &amp; </w:t>
      </w:r>
      <w:proofErr w:type="spellStart"/>
      <w:r w:rsidRPr="005E70AD">
        <w:rPr>
          <w:rFonts w:ascii="Times New Roman" w:hAnsi="Times New Roman" w:cs="Times New Roman"/>
          <w:color w:val="1C1C1C"/>
          <w:lang w:eastAsia="ja-JP"/>
        </w:rPr>
        <w:t>Burzell</w:t>
      </w:r>
      <w:proofErr w:type="spellEnd"/>
      <w:r w:rsidRPr="005E70AD">
        <w:rPr>
          <w:rFonts w:ascii="Times New Roman" w:hAnsi="Times New Roman" w:cs="Times New Roman"/>
          <w:color w:val="1C1C1C"/>
          <w:lang w:eastAsia="ja-JP"/>
        </w:rPr>
        <w:t xml:space="preserve">, L. A. (1972). A simple </w:t>
      </w:r>
      <w:proofErr w:type="spellStart"/>
      <w:r w:rsidRPr="005E70AD">
        <w:rPr>
          <w:rFonts w:ascii="Times New Roman" w:hAnsi="Times New Roman" w:cs="Times New Roman"/>
          <w:color w:val="1C1C1C"/>
          <w:lang w:eastAsia="ja-JP"/>
        </w:rPr>
        <w:t>microlayer</w:t>
      </w:r>
      <w:proofErr w:type="spellEnd"/>
      <w:r w:rsidRPr="005E70AD">
        <w:rPr>
          <w:rFonts w:ascii="Times New Roman" w:hAnsi="Times New Roman" w:cs="Times New Roman"/>
          <w:color w:val="1C1C1C"/>
          <w:lang w:eastAsia="ja-JP"/>
        </w:rPr>
        <w:t xml:space="preserve"> method for small samples1. </w:t>
      </w:r>
      <w:r w:rsidRPr="005E70AD">
        <w:rPr>
          <w:rFonts w:ascii="Times New Roman" w:hAnsi="Times New Roman" w:cs="Times New Roman"/>
          <w:i/>
          <w:iCs/>
          <w:color w:val="1C1C1C"/>
          <w:lang w:eastAsia="ja-JP"/>
        </w:rPr>
        <w:t>Limnology and Oceanography</w:t>
      </w:r>
      <w:r w:rsidRPr="005E70AD">
        <w:rPr>
          <w:rFonts w:ascii="Times New Roman" w:hAnsi="Times New Roman" w:cs="Times New Roman"/>
          <w:color w:val="1C1C1C"/>
          <w:lang w:eastAsia="ja-JP"/>
        </w:rPr>
        <w:t>, </w:t>
      </w:r>
      <w:r w:rsidRPr="005E70AD">
        <w:rPr>
          <w:rFonts w:ascii="Times New Roman" w:hAnsi="Times New Roman" w:cs="Times New Roman"/>
          <w:i/>
          <w:iCs/>
          <w:color w:val="1C1C1C"/>
          <w:lang w:eastAsia="ja-JP"/>
        </w:rPr>
        <w:t>17</w:t>
      </w:r>
      <w:r w:rsidRPr="005E70AD">
        <w:rPr>
          <w:rFonts w:ascii="Times New Roman" w:hAnsi="Times New Roman" w:cs="Times New Roman"/>
          <w:color w:val="1C1C1C"/>
          <w:lang w:eastAsia="ja-JP"/>
        </w:rPr>
        <w:t>(1), 156-157.</w:t>
      </w:r>
      <w:r w:rsidRPr="005E70AD">
        <w:rPr>
          <w:rFonts w:ascii="Times New Roman" w:hAnsi="Times New Roman" w:cs="Times New Roman"/>
          <w:color w:val="1C1C1C"/>
          <w:lang w:eastAsia="ja-JP"/>
        </w:rPr>
        <w:tab/>
      </w:r>
    </w:p>
    <w:p w14:paraId="09A4B8C4" w14:textId="77777777" w:rsidR="005E70AD" w:rsidRPr="005E70AD" w:rsidRDefault="005E70AD" w:rsidP="005E70AD">
      <w:pPr>
        <w:rPr>
          <w:rFonts w:ascii="Times New Roman" w:hAnsi="Times New Roman" w:cs="Times New Roman"/>
        </w:rPr>
      </w:pPr>
      <w:proofErr w:type="spellStart"/>
      <w:r w:rsidRPr="005E70AD">
        <w:rPr>
          <w:rFonts w:ascii="Times New Roman" w:hAnsi="Times New Roman" w:cs="Times New Roman"/>
        </w:rPr>
        <w:t>Hammerschmidt</w:t>
      </w:r>
      <w:proofErr w:type="spellEnd"/>
      <w:r w:rsidRPr="005E70AD">
        <w:rPr>
          <w:rFonts w:ascii="Times New Roman" w:hAnsi="Times New Roman" w:cs="Times New Roman"/>
        </w:rPr>
        <w:t xml:space="preserve">, C. R., Bowman K. L., </w:t>
      </w:r>
      <w:proofErr w:type="spellStart"/>
      <w:r w:rsidRPr="005E70AD">
        <w:rPr>
          <w:rFonts w:ascii="Times New Roman" w:hAnsi="Times New Roman" w:cs="Times New Roman"/>
        </w:rPr>
        <w:t>Tabatchnick</w:t>
      </w:r>
      <w:proofErr w:type="spellEnd"/>
      <w:r w:rsidRPr="005E70AD">
        <w:rPr>
          <w:rFonts w:ascii="Times New Roman" w:hAnsi="Times New Roman" w:cs="Times New Roman"/>
        </w:rPr>
        <w:t xml:space="preserve">, M. D. and </w:t>
      </w:r>
      <w:proofErr w:type="spellStart"/>
      <w:r w:rsidRPr="005E70AD">
        <w:rPr>
          <w:rFonts w:ascii="Times New Roman" w:hAnsi="Times New Roman" w:cs="Times New Roman"/>
        </w:rPr>
        <w:t>Lamborg</w:t>
      </w:r>
      <w:proofErr w:type="spellEnd"/>
      <w:r w:rsidRPr="005E70AD">
        <w:rPr>
          <w:rFonts w:ascii="Times New Roman" w:hAnsi="Times New Roman" w:cs="Times New Roman"/>
        </w:rPr>
        <w:t xml:space="preserve">, C. H., 2011. Storage bottle material and cleaning for determination of total mercury in seawater. </w:t>
      </w:r>
      <w:proofErr w:type="spellStart"/>
      <w:r w:rsidRPr="005E70AD">
        <w:rPr>
          <w:rFonts w:ascii="Times New Roman" w:hAnsi="Times New Roman" w:cs="Times New Roman"/>
          <w:i/>
        </w:rPr>
        <w:t>Limnol</w:t>
      </w:r>
      <w:proofErr w:type="spellEnd"/>
      <w:r w:rsidRPr="005E70AD">
        <w:rPr>
          <w:rFonts w:ascii="Times New Roman" w:hAnsi="Times New Roman" w:cs="Times New Roman"/>
          <w:i/>
        </w:rPr>
        <w:t xml:space="preserve">. </w:t>
      </w:r>
      <w:proofErr w:type="spellStart"/>
      <w:r w:rsidRPr="005E70AD">
        <w:rPr>
          <w:rFonts w:ascii="Times New Roman" w:hAnsi="Times New Roman" w:cs="Times New Roman"/>
          <w:i/>
        </w:rPr>
        <w:t>Oceanogr</w:t>
      </w:r>
      <w:proofErr w:type="spellEnd"/>
      <w:r w:rsidRPr="005E70AD">
        <w:rPr>
          <w:rFonts w:ascii="Times New Roman" w:hAnsi="Times New Roman" w:cs="Times New Roman"/>
          <w:i/>
        </w:rPr>
        <w:t>. Methods</w:t>
      </w:r>
      <w:r w:rsidRPr="005E70AD">
        <w:rPr>
          <w:rFonts w:ascii="Times New Roman" w:hAnsi="Times New Roman" w:cs="Times New Roman"/>
        </w:rPr>
        <w:t>: 9:426-431.</w:t>
      </w:r>
    </w:p>
    <w:p w14:paraId="2FCBF56D" w14:textId="77777777" w:rsidR="005E70AD" w:rsidRPr="005E70AD" w:rsidRDefault="005E70AD" w:rsidP="005E70AD">
      <w:pPr>
        <w:rPr>
          <w:rFonts w:ascii="Times New Roman" w:hAnsi="Times New Roman" w:cs="Times New Roman"/>
        </w:rPr>
      </w:pPr>
      <w:proofErr w:type="spellStart"/>
      <w:r w:rsidRPr="005E70AD">
        <w:rPr>
          <w:rFonts w:ascii="Times New Roman" w:hAnsi="Times New Roman" w:cs="Times New Roman"/>
        </w:rPr>
        <w:t>Lamborg</w:t>
      </w:r>
      <w:proofErr w:type="spellEnd"/>
      <w:r w:rsidRPr="005E70AD">
        <w:rPr>
          <w:rFonts w:ascii="Times New Roman" w:hAnsi="Times New Roman" w:cs="Times New Roman"/>
        </w:rPr>
        <w:t xml:space="preserve"> C. H.</w:t>
      </w:r>
      <w:proofErr w:type="gramStart"/>
      <w:r w:rsidRPr="005E70AD">
        <w:rPr>
          <w:rFonts w:ascii="Times New Roman" w:hAnsi="Times New Roman" w:cs="Times New Roman"/>
        </w:rPr>
        <w:t xml:space="preserve">,  </w:t>
      </w:r>
      <w:proofErr w:type="spellStart"/>
      <w:r w:rsidRPr="005E70AD">
        <w:rPr>
          <w:rFonts w:ascii="Times New Roman" w:hAnsi="Times New Roman" w:cs="Times New Roman"/>
        </w:rPr>
        <w:t>Hammerschmidt</w:t>
      </w:r>
      <w:proofErr w:type="spellEnd"/>
      <w:proofErr w:type="gramEnd"/>
      <w:r w:rsidRPr="005E70AD">
        <w:rPr>
          <w:rFonts w:ascii="Times New Roman" w:hAnsi="Times New Roman" w:cs="Times New Roman"/>
        </w:rPr>
        <w:t xml:space="preserve">, C., Gill, G., Mason, R. and </w:t>
      </w:r>
      <w:proofErr w:type="spellStart"/>
      <w:r w:rsidRPr="005E70AD">
        <w:rPr>
          <w:rFonts w:ascii="Times New Roman" w:hAnsi="Times New Roman" w:cs="Times New Roman"/>
        </w:rPr>
        <w:t>Gichuki</w:t>
      </w:r>
      <w:proofErr w:type="spellEnd"/>
      <w:r w:rsidRPr="005E70AD">
        <w:rPr>
          <w:rFonts w:ascii="Times New Roman" w:hAnsi="Times New Roman" w:cs="Times New Roman"/>
        </w:rPr>
        <w:t>, S.,  2012. An </w:t>
      </w:r>
      <w:proofErr w:type="spellStart"/>
      <w:r w:rsidRPr="005E70AD">
        <w:rPr>
          <w:rFonts w:ascii="Times New Roman" w:hAnsi="Times New Roman" w:cs="Times New Roman"/>
        </w:rPr>
        <w:t>intercomparison</w:t>
      </w:r>
      <w:proofErr w:type="spellEnd"/>
      <w:r w:rsidRPr="005E70AD">
        <w:rPr>
          <w:rFonts w:ascii="Times New Roman" w:hAnsi="Times New Roman" w:cs="Times New Roman"/>
        </w:rPr>
        <w:t xml:space="preserve"> of procedures for the determination of total mercury in seawater and recommendations regarding mercury speciation during GEOTRACES cruises” </w:t>
      </w:r>
      <w:proofErr w:type="spellStart"/>
      <w:r w:rsidRPr="005E70AD">
        <w:rPr>
          <w:rFonts w:ascii="Times New Roman" w:hAnsi="Times New Roman" w:cs="Times New Roman"/>
          <w:i/>
        </w:rPr>
        <w:t>Limnol</w:t>
      </w:r>
      <w:proofErr w:type="spellEnd"/>
      <w:r w:rsidRPr="005E70AD">
        <w:rPr>
          <w:rFonts w:ascii="Times New Roman" w:hAnsi="Times New Roman" w:cs="Times New Roman"/>
          <w:i/>
        </w:rPr>
        <w:t>. </w:t>
      </w:r>
      <w:proofErr w:type="spellStart"/>
      <w:r w:rsidRPr="005E70AD">
        <w:rPr>
          <w:rFonts w:ascii="Times New Roman" w:hAnsi="Times New Roman" w:cs="Times New Roman"/>
          <w:i/>
        </w:rPr>
        <w:t>Oceanogr</w:t>
      </w:r>
      <w:proofErr w:type="spellEnd"/>
      <w:r w:rsidRPr="005E70AD">
        <w:rPr>
          <w:rFonts w:ascii="Times New Roman" w:hAnsi="Times New Roman" w:cs="Times New Roman"/>
          <w:i/>
        </w:rPr>
        <w:t>. Methods</w:t>
      </w:r>
      <w:r w:rsidRPr="005E70AD">
        <w:rPr>
          <w:rFonts w:ascii="Times New Roman" w:hAnsi="Times New Roman" w:cs="Times New Roman"/>
        </w:rPr>
        <w:t xml:space="preserve"> 10:90-100.</w:t>
      </w:r>
    </w:p>
    <w:p w14:paraId="714C32ED" w14:textId="77777777" w:rsidR="008A64D8" w:rsidRPr="00627683" w:rsidRDefault="008A64D8" w:rsidP="00DB512A">
      <w:pPr>
        <w:jc w:val="center"/>
        <w:rPr>
          <w:rFonts w:ascii="Times New Roman" w:hAnsi="Times New Roman" w:cs="Times New Roman"/>
        </w:rPr>
      </w:pPr>
    </w:p>
    <w:p w14:paraId="48724077" w14:textId="77777777" w:rsidR="00EC1D57" w:rsidRPr="00627683" w:rsidRDefault="00EC1D57" w:rsidP="00DB512A">
      <w:pPr>
        <w:rPr>
          <w:rFonts w:ascii="Times New Roman" w:hAnsi="Times New Roman" w:cs="Times New Roman"/>
        </w:rPr>
      </w:pPr>
    </w:p>
    <w:sectPr w:rsidR="00EC1D57" w:rsidRPr="00627683" w:rsidSect="00D15C0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A444" w14:textId="77777777" w:rsidR="00447DB4" w:rsidRDefault="00447DB4" w:rsidP="00973407">
      <w:pPr>
        <w:spacing w:after="0" w:line="240" w:lineRule="auto"/>
      </w:pPr>
      <w:r>
        <w:separator/>
      </w:r>
    </w:p>
  </w:endnote>
  <w:endnote w:type="continuationSeparator" w:id="0">
    <w:p w14:paraId="560A92D6" w14:textId="77777777" w:rsidR="00447DB4" w:rsidRDefault="00447DB4" w:rsidP="0097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41841"/>
      <w:docPartObj>
        <w:docPartGallery w:val="Page Numbers (Bottom of Page)"/>
        <w:docPartUnique/>
      </w:docPartObj>
    </w:sdtPr>
    <w:sdtEndPr>
      <w:rPr>
        <w:noProof/>
      </w:rPr>
    </w:sdtEndPr>
    <w:sdtContent>
      <w:p w14:paraId="0B9691DA" w14:textId="77777777" w:rsidR="00973407" w:rsidRDefault="00973407">
        <w:pPr>
          <w:pStyle w:val="Footer"/>
          <w:jc w:val="right"/>
        </w:pPr>
        <w:r>
          <w:fldChar w:fldCharType="begin"/>
        </w:r>
        <w:r>
          <w:instrText xml:space="preserve"> PAGE   \* MERGEFORMAT </w:instrText>
        </w:r>
        <w:r>
          <w:fldChar w:fldCharType="separate"/>
        </w:r>
        <w:r w:rsidR="008B2D0B">
          <w:rPr>
            <w:noProof/>
          </w:rPr>
          <w:t>1</w:t>
        </w:r>
        <w:r>
          <w:rPr>
            <w:noProof/>
          </w:rPr>
          <w:fldChar w:fldCharType="end"/>
        </w:r>
      </w:p>
    </w:sdtContent>
  </w:sdt>
  <w:p w14:paraId="2A660E12" w14:textId="77777777" w:rsidR="00973407" w:rsidRDefault="00973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763CB" w14:textId="77777777" w:rsidR="00447DB4" w:rsidRDefault="00447DB4" w:rsidP="00973407">
      <w:pPr>
        <w:spacing w:after="0" w:line="240" w:lineRule="auto"/>
      </w:pPr>
      <w:r>
        <w:separator/>
      </w:r>
    </w:p>
  </w:footnote>
  <w:footnote w:type="continuationSeparator" w:id="0">
    <w:p w14:paraId="782ABAD2" w14:textId="77777777" w:rsidR="00447DB4" w:rsidRDefault="00447DB4" w:rsidP="00973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6E"/>
    <w:rsid w:val="00041D09"/>
    <w:rsid w:val="001541DF"/>
    <w:rsid w:val="001611D1"/>
    <w:rsid w:val="0017087A"/>
    <w:rsid w:val="001B3248"/>
    <w:rsid w:val="001B7EBE"/>
    <w:rsid w:val="001C49F8"/>
    <w:rsid w:val="00230413"/>
    <w:rsid w:val="002715BD"/>
    <w:rsid w:val="002766FF"/>
    <w:rsid w:val="002C3BB1"/>
    <w:rsid w:val="003630D7"/>
    <w:rsid w:val="003C21A9"/>
    <w:rsid w:val="003F249E"/>
    <w:rsid w:val="003F7E28"/>
    <w:rsid w:val="00412966"/>
    <w:rsid w:val="0042503A"/>
    <w:rsid w:val="00436786"/>
    <w:rsid w:val="00447DB4"/>
    <w:rsid w:val="004640FC"/>
    <w:rsid w:val="004F4E37"/>
    <w:rsid w:val="0050387B"/>
    <w:rsid w:val="00523A69"/>
    <w:rsid w:val="00530354"/>
    <w:rsid w:val="00535ADF"/>
    <w:rsid w:val="005425B3"/>
    <w:rsid w:val="00552D6E"/>
    <w:rsid w:val="005972CC"/>
    <w:rsid w:val="005B154B"/>
    <w:rsid w:val="005D6A45"/>
    <w:rsid w:val="005D6A9E"/>
    <w:rsid w:val="005D6D0E"/>
    <w:rsid w:val="005E70AD"/>
    <w:rsid w:val="005F2DDB"/>
    <w:rsid w:val="006227DF"/>
    <w:rsid w:val="00627683"/>
    <w:rsid w:val="006367D1"/>
    <w:rsid w:val="00675C70"/>
    <w:rsid w:val="00692902"/>
    <w:rsid w:val="006A28FF"/>
    <w:rsid w:val="006C4FED"/>
    <w:rsid w:val="006D4053"/>
    <w:rsid w:val="00701AA0"/>
    <w:rsid w:val="007051B6"/>
    <w:rsid w:val="00775862"/>
    <w:rsid w:val="007958E7"/>
    <w:rsid w:val="007C049A"/>
    <w:rsid w:val="00823C59"/>
    <w:rsid w:val="00880604"/>
    <w:rsid w:val="0088450E"/>
    <w:rsid w:val="008A4676"/>
    <w:rsid w:val="008A64D8"/>
    <w:rsid w:val="008B2D0B"/>
    <w:rsid w:val="008E7E2B"/>
    <w:rsid w:val="00916694"/>
    <w:rsid w:val="0094233E"/>
    <w:rsid w:val="00961E09"/>
    <w:rsid w:val="00973407"/>
    <w:rsid w:val="0099194E"/>
    <w:rsid w:val="009B0B53"/>
    <w:rsid w:val="009F1ECC"/>
    <w:rsid w:val="00A03B19"/>
    <w:rsid w:val="00A20E82"/>
    <w:rsid w:val="00A22A4C"/>
    <w:rsid w:val="00A427EF"/>
    <w:rsid w:val="00A63ECB"/>
    <w:rsid w:val="00A76E8C"/>
    <w:rsid w:val="00A77665"/>
    <w:rsid w:val="00A821C1"/>
    <w:rsid w:val="00A93658"/>
    <w:rsid w:val="00AB615C"/>
    <w:rsid w:val="00B171B7"/>
    <w:rsid w:val="00B24CD4"/>
    <w:rsid w:val="00B4632B"/>
    <w:rsid w:val="00B557C2"/>
    <w:rsid w:val="00B563B4"/>
    <w:rsid w:val="00BA75C0"/>
    <w:rsid w:val="00C22943"/>
    <w:rsid w:val="00C2575A"/>
    <w:rsid w:val="00C70FD8"/>
    <w:rsid w:val="00CE2D26"/>
    <w:rsid w:val="00CE7882"/>
    <w:rsid w:val="00CF3E60"/>
    <w:rsid w:val="00D15C02"/>
    <w:rsid w:val="00D448B7"/>
    <w:rsid w:val="00D935A9"/>
    <w:rsid w:val="00DB512A"/>
    <w:rsid w:val="00DE3D75"/>
    <w:rsid w:val="00DE4FB4"/>
    <w:rsid w:val="00E02804"/>
    <w:rsid w:val="00E04AC9"/>
    <w:rsid w:val="00E16BA8"/>
    <w:rsid w:val="00E31F52"/>
    <w:rsid w:val="00E427AA"/>
    <w:rsid w:val="00E753C2"/>
    <w:rsid w:val="00EA1B64"/>
    <w:rsid w:val="00EC1D57"/>
    <w:rsid w:val="00F14F9B"/>
    <w:rsid w:val="00F57C0E"/>
    <w:rsid w:val="00F73534"/>
    <w:rsid w:val="00F85626"/>
    <w:rsid w:val="00F94F96"/>
    <w:rsid w:val="00FB268E"/>
    <w:rsid w:val="00FD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BFF2"/>
  <w15:chartTrackingRefBased/>
  <w15:docId w15:val="{6F271D15-89AE-43ED-BB4D-090672F3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2D6E"/>
  </w:style>
  <w:style w:type="character" w:styleId="LineNumber">
    <w:name w:val="line number"/>
    <w:basedOn w:val="DefaultParagraphFont"/>
    <w:uiPriority w:val="99"/>
    <w:semiHidden/>
    <w:unhideWhenUsed/>
    <w:rsid w:val="006227DF"/>
  </w:style>
  <w:style w:type="paragraph" w:styleId="Header">
    <w:name w:val="header"/>
    <w:basedOn w:val="Normal"/>
    <w:link w:val="HeaderChar"/>
    <w:uiPriority w:val="99"/>
    <w:unhideWhenUsed/>
    <w:rsid w:val="0097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07"/>
  </w:style>
  <w:style w:type="paragraph" w:styleId="Footer">
    <w:name w:val="footer"/>
    <w:basedOn w:val="Normal"/>
    <w:link w:val="FooterChar"/>
    <w:uiPriority w:val="99"/>
    <w:unhideWhenUsed/>
    <w:rsid w:val="0097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07"/>
  </w:style>
  <w:style w:type="character" w:styleId="CommentReference">
    <w:name w:val="annotation reference"/>
    <w:basedOn w:val="DefaultParagraphFont"/>
    <w:uiPriority w:val="99"/>
    <w:semiHidden/>
    <w:unhideWhenUsed/>
    <w:rsid w:val="009B0B53"/>
    <w:rPr>
      <w:sz w:val="16"/>
      <w:szCs w:val="16"/>
    </w:rPr>
  </w:style>
  <w:style w:type="paragraph" w:styleId="CommentText">
    <w:name w:val="annotation text"/>
    <w:basedOn w:val="Normal"/>
    <w:link w:val="CommentTextChar"/>
    <w:uiPriority w:val="99"/>
    <w:semiHidden/>
    <w:unhideWhenUsed/>
    <w:rsid w:val="009B0B53"/>
    <w:pPr>
      <w:spacing w:line="240" w:lineRule="auto"/>
    </w:pPr>
    <w:rPr>
      <w:sz w:val="20"/>
      <w:szCs w:val="20"/>
    </w:rPr>
  </w:style>
  <w:style w:type="character" w:customStyle="1" w:styleId="CommentTextChar">
    <w:name w:val="Comment Text Char"/>
    <w:basedOn w:val="DefaultParagraphFont"/>
    <w:link w:val="CommentText"/>
    <w:uiPriority w:val="99"/>
    <w:semiHidden/>
    <w:rsid w:val="009B0B53"/>
    <w:rPr>
      <w:sz w:val="20"/>
      <w:szCs w:val="20"/>
    </w:rPr>
  </w:style>
  <w:style w:type="paragraph" w:styleId="CommentSubject">
    <w:name w:val="annotation subject"/>
    <w:basedOn w:val="CommentText"/>
    <w:next w:val="CommentText"/>
    <w:link w:val="CommentSubjectChar"/>
    <w:uiPriority w:val="99"/>
    <w:semiHidden/>
    <w:unhideWhenUsed/>
    <w:rsid w:val="009B0B53"/>
    <w:rPr>
      <w:b/>
      <w:bCs/>
    </w:rPr>
  </w:style>
  <w:style w:type="character" w:customStyle="1" w:styleId="CommentSubjectChar">
    <w:name w:val="Comment Subject Char"/>
    <w:basedOn w:val="CommentTextChar"/>
    <w:link w:val="CommentSubject"/>
    <w:uiPriority w:val="99"/>
    <w:semiHidden/>
    <w:rsid w:val="009B0B53"/>
    <w:rPr>
      <w:b/>
      <w:bCs/>
      <w:sz w:val="20"/>
      <w:szCs w:val="20"/>
    </w:rPr>
  </w:style>
  <w:style w:type="paragraph" w:styleId="BalloonText">
    <w:name w:val="Balloon Text"/>
    <w:basedOn w:val="Normal"/>
    <w:link w:val="BalloonTextChar"/>
    <w:uiPriority w:val="99"/>
    <w:semiHidden/>
    <w:unhideWhenUsed/>
    <w:rsid w:val="009B0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5110">
      <w:bodyDiv w:val="1"/>
      <w:marLeft w:val="0"/>
      <w:marRight w:val="0"/>
      <w:marTop w:val="0"/>
      <w:marBottom w:val="0"/>
      <w:divBdr>
        <w:top w:val="none" w:sz="0" w:space="0" w:color="auto"/>
        <w:left w:val="none" w:sz="0" w:space="0" w:color="auto"/>
        <w:bottom w:val="none" w:sz="0" w:space="0" w:color="auto"/>
        <w:right w:val="none" w:sz="0" w:space="0" w:color="auto"/>
      </w:divBdr>
    </w:div>
    <w:div w:id="473718547">
      <w:bodyDiv w:val="1"/>
      <w:marLeft w:val="0"/>
      <w:marRight w:val="0"/>
      <w:marTop w:val="0"/>
      <w:marBottom w:val="0"/>
      <w:divBdr>
        <w:top w:val="none" w:sz="0" w:space="0" w:color="auto"/>
        <w:left w:val="none" w:sz="0" w:space="0" w:color="auto"/>
        <w:bottom w:val="none" w:sz="0" w:space="0" w:color="auto"/>
        <w:right w:val="none" w:sz="0" w:space="0" w:color="auto"/>
      </w:divBdr>
    </w:div>
    <w:div w:id="515391166">
      <w:bodyDiv w:val="1"/>
      <w:marLeft w:val="0"/>
      <w:marRight w:val="0"/>
      <w:marTop w:val="0"/>
      <w:marBottom w:val="0"/>
      <w:divBdr>
        <w:top w:val="none" w:sz="0" w:space="0" w:color="auto"/>
        <w:left w:val="none" w:sz="0" w:space="0" w:color="auto"/>
        <w:bottom w:val="none" w:sz="0" w:space="0" w:color="auto"/>
        <w:right w:val="none" w:sz="0" w:space="0" w:color="auto"/>
      </w:divBdr>
    </w:div>
    <w:div w:id="1122653859">
      <w:bodyDiv w:val="1"/>
      <w:marLeft w:val="0"/>
      <w:marRight w:val="0"/>
      <w:marTop w:val="0"/>
      <w:marBottom w:val="0"/>
      <w:divBdr>
        <w:top w:val="none" w:sz="0" w:space="0" w:color="auto"/>
        <w:left w:val="none" w:sz="0" w:space="0" w:color="auto"/>
        <w:bottom w:val="none" w:sz="0" w:space="0" w:color="auto"/>
        <w:right w:val="none" w:sz="0" w:space="0" w:color="auto"/>
      </w:divBdr>
    </w:div>
    <w:div w:id="1777019884">
      <w:bodyDiv w:val="1"/>
      <w:marLeft w:val="0"/>
      <w:marRight w:val="0"/>
      <w:marTop w:val="0"/>
      <w:marBottom w:val="0"/>
      <w:divBdr>
        <w:top w:val="none" w:sz="0" w:space="0" w:color="auto"/>
        <w:left w:val="none" w:sz="0" w:space="0" w:color="auto"/>
        <w:bottom w:val="none" w:sz="0" w:space="0" w:color="auto"/>
        <w:right w:val="none" w:sz="0" w:space="0" w:color="auto"/>
      </w:divBdr>
    </w:div>
    <w:div w:id="18513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Weiss</dc:creator>
  <cp:keywords/>
  <dc:description/>
  <cp:lastModifiedBy>Liba F. Hladik</cp:lastModifiedBy>
  <cp:revision>2</cp:revision>
  <dcterms:created xsi:type="dcterms:W3CDTF">2016-03-28T16:51:00Z</dcterms:created>
  <dcterms:modified xsi:type="dcterms:W3CDTF">2016-03-28T16:51:00Z</dcterms:modified>
</cp:coreProperties>
</file>