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120"/>
        <w:jc w:val="both"/>
        <w:rPr>
          <w:i w:val="false"/>
          <w:i w:val="false"/>
          <w:iCs w:val="false"/>
          <w:sz w:val="28"/>
          <w:szCs w:val="28"/>
          <w:lang w:val="en-US"/>
        </w:rPr>
      </w:pPr>
      <w:bookmarkStart w:id="0" w:name="_GoBack"/>
      <w:bookmarkEnd w:id="0"/>
      <w:r>
        <w:rPr>
          <w:rFonts w:cs="Times New Roman" w:ascii="Times New Roman" w:hAnsi="Times New Roman"/>
          <w:i w:val="false"/>
          <w:iCs w:val="false"/>
          <w:sz w:val="28"/>
          <w:szCs w:val="28"/>
          <w:lang w:val="en-US"/>
        </w:rPr>
        <w:t xml:space="preserve">Table S1: </w:t>
      </w:r>
      <w:r>
        <w:rPr>
          <w:rFonts w:ascii="Times New Roman" w:hAnsi="Times New Roman"/>
          <w:i w:val="false"/>
          <w:iCs w:val="false"/>
          <w:sz w:val="28"/>
          <w:szCs w:val="28"/>
          <w:lang w:val="en-US"/>
        </w:rPr>
        <w:t>Characteristics of communities studied and of numb</w:t>
      </w:r>
      <w:bookmarkStart w:id="1" w:name="__DdeLink__9709_1096845765"/>
      <w:bookmarkEnd w:id="1"/>
      <w:r>
        <w:rPr>
          <w:rFonts w:ascii="Times New Roman" w:hAnsi="Times New Roman"/>
          <w:i w:val="false"/>
          <w:iCs w:val="false"/>
          <w:sz w:val="28"/>
          <w:szCs w:val="28"/>
          <w:lang w:val="en-US"/>
        </w:rPr>
        <w:t>ers of interviewees from different groups</w:t>
      </w:r>
    </w:p>
    <w:tbl>
      <w:tblPr>
        <w:tblStyle w:val="TableGrid"/>
        <w:tblpPr w:bottomFromText="0" w:horzAnchor="margin" w:leftFromText="141" w:rightFromText="141" w:tblpX="0" w:tblpY="3418" w:topFromText="0" w:vertAnchor="page"/>
        <w:tblW w:w="14285" w:type="dxa"/>
        <w:jc w:val="left"/>
        <w:tblInd w:w="68" w:type="dxa"/>
        <w:tblCellMar>
          <w:top w:w="0" w:type="dxa"/>
          <w:left w:w="68" w:type="dxa"/>
          <w:bottom w:w="0" w:type="dxa"/>
          <w:right w:w="108" w:type="dxa"/>
        </w:tblCellMar>
        <w:tblLook w:val="04a0" w:noVBand="1" w:noHBand="0" w:lastColumn="0" w:firstColumn="1" w:lastRow="0" w:firstRow="1"/>
      </w:tblPr>
      <w:tblGrid>
        <w:gridCol w:w="2076"/>
        <w:gridCol w:w="1273"/>
        <w:gridCol w:w="1305"/>
        <w:gridCol w:w="1523"/>
        <w:gridCol w:w="1931"/>
        <w:gridCol w:w="2097"/>
        <w:gridCol w:w="2327"/>
        <w:gridCol w:w="1753"/>
      </w:tblGrid>
      <w:tr>
        <w:trPr>
          <w:trHeight w:val="430" w:hRule="atLeast"/>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b/>
                <w:sz w:val="18"/>
                <w:szCs w:val="18"/>
                <w:lang w:val="en-US" w:eastAsia="de-DE"/>
              </w:rPr>
              <w:t>Coffee Catchment</w:t>
            </w:r>
            <w:r>
              <w:rPr>
                <w:rFonts w:eastAsia="Times New Roman" w:cs="Times New Roman" w:ascii="Times New Roman" w:hAnsi="Times New Roman"/>
                <w:b/>
                <w:sz w:val="18"/>
                <w:szCs w:val="18"/>
                <w:vertAlign w:val="superscript"/>
                <w:lang w:val="en-US" w:eastAsia="de-DE"/>
              </w:rPr>
              <w:t>1</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b/>
                <w:sz w:val="18"/>
                <w:szCs w:val="18"/>
                <w:lang w:val="en-US" w:eastAsia="de-DE"/>
              </w:rPr>
              <w:t>Land tenure</w:t>
            </w:r>
            <w:r>
              <w:rPr>
                <w:rFonts w:eastAsia="Times New Roman" w:cs="Times New Roman" w:ascii="Times New Roman" w:hAnsi="Times New Roman"/>
                <w:b/>
                <w:sz w:val="18"/>
                <w:szCs w:val="18"/>
                <w:vertAlign w:val="superscript"/>
                <w:lang w:val="en-US" w:eastAsia="de-DE"/>
              </w:rPr>
              <w:t>2</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b/>
                <w:sz w:val="18"/>
                <w:szCs w:val="18"/>
                <w:lang w:val="en-US" w:eastAsia="de-DE"/>
              </w:rPr>
              <w:t>LTBR zones</w:t>
            </w:r>
            <w:r>
              <w:rPr>
                <w:rFonts w:eastAsia="Times New Roman" w:cs="Times New Roman" w:ascii="Times New Roman" w:hAnsi="Times New Roman"/>
                <w:b/>
                <w:sz w:val="18"/>
                <w:szCs w:val="18"/>
                <w:vertAlign w:val="superscript"/>
                <w:lang w:val="en-US" w:eastAsia="de-DE"/>
              </w:rPr>
              <w:t>3</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b/>
                <w:sz w:val="18"/>
                <w:szCs w:val="18"/>
                <w:lang w:val="en-US" w:eastAsia="de-DE"/>
              </w:rPr>
              <w:t>Experts / Local leaders (10)</w:t>
            </w:r>
            <w:r>
              <w:rPr>
                <w:rFonts w:eastAsia="Times New Roman" w:cs="Times New Roman" w:ascii="Times New Roman" w:hAnsi="Times New Roman"/>
                <w:b/>
                <w:sz w:val="18"/>
                <w:szCs w:val="18"/>
                <w:vertAlign w:val="superscript"/>
                <w:lang w:val="en-US" w:eastAsia="de-DE"/>
              </w:rPr>
              <w:t>4</w:t>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b/>
                <w:sz w:val="18"/>
                <w:szCs w:val="18"/>
                <w:lang w:val="en-US" w:eastAsia="de-DE"/>
              </w:rPr>
              <w:t>Private firms</w:t>
            </w:r>
            <w:r>
              <w:rPr>
                <w:rFonts w:eastAsia="Times New Roman" w:cs="Times New Roman" w:ascii="Times New Roman" w:hAnsi="Times New Roman"/>
                <w:b/>
                <w:sz w:val="18"/>
                <w:szCs w:val="18"/>
                <w:vertAlign w:val="superscript"/>
                <w:lang w:val="en-US" w:eastAsia="de-DE"/>
              </w:rPr>
              <w:t xml:space="preserve">5 </w:t>
            </w:r>
            <w:r>
              <w:rPr>
                <w:rFonts w:eastAsia="Times New Roman" w:cs="Times New Roman" w:ascii="Times New Roman" w:hAnsi="Times New Roman"/>
                <w:b/>
                <w:position w:val="0"/>
                <w:sz w:val="18"/>
                <w:sz w:val="18"/>
                <w:szCs w:val="18"/>
                <w:vertAlign w:val="baseline"/>
                <w:lang w:val="en-US" w:eastAsia="de-DE"/>
              </w:rPr>
              <w:t>(5)</w:t>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b/>
                <w:sz w:val="18"/>
                <w:szCs w:val="18"/>
                <w:lang w:val="en-US" w:eastAsia="de-DE"/>
              </w:rPr>
              <w:t>Cooperative representatives / members (63)</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b/>
                <w:sz w:val="18"/>
                <w:szCs w:val="18"/>
                <w:lang w:val="en-US" w:eastAsia="de-DE"/>
              </w:rPr>
              <w:t xml:space="preserve">Independent </w:t>
            </w:r>
            <w:r>
              <w:rPr>
                <w:rFonts w:eastAsia="Times New Roman" w:cs="Times New Roman" w:ascii="Times New Roman" w:hAnsi="Times New Roman"/>
                <w:b/>
                <w:sz w:val="18"/>
                <w:szCs w:val="18"/>
                <w:lang w:val="en-US" w:eastAsia="de-DE"/>
              </w:rPr>
              <w:t>p</w:t>
            </w:r>
            <w:r>
              <w:rPr>
                <w:rFonts w:eastAsia="Times New Roman" w:cs="Times New Roman" w:ascii="Times New Roman" w:hAnsi="Times New Roman"/>
                <w:b/>
                <w:sz w:val="18"/>
                <w:szCs w:val="18"/>
                <w:lang w:val="en-US" w:eastAsia="de-DE"/>
              </w:rPr>
              <w:t>roducers (17)</w:t>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b/>
                <w:b/>
                <w:sz w:val="18"/>
                <w:szCs w:val="18"/>
                <w:lang w:val="en-US"/>
              </w:rPr>
            </w:pPr>
            <w:r>
              <w:rPr>
                <w:rFonts w:eastAsia="Times New Roman" w:cs="Times New Roman" w:ascii="Times New Roman" w:hAnsi="Times New Roman"/>
                <w:b/>
                <w:sz w:val="18"/>
                <w:szCs w:val="18"/>
                <w:lang w:val="en-US" w:eastAsia="de-DE"/>
              </w:rPr>
              <w:t>Local communities</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Col. El Águila</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Z</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AC</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 (Cerro Cintepec)</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4 (ex-SSS</w:t>
            </w:r>
            <w:r>
              <w:rPr>
                <w:rFonts w:eastAsia="Times New Roman" w:cs="Times New Roman" w:ascii="Times New Roman" w:hAnsi="Times New Roman"/>
                <w:b/>
                <w:sz w:val="18"/>
                <w:szCs w:val="18"/>
                <w:vertAlign w:val="superscript"/>
                <w:lang w:val="en-US" w:eastAsia="de-DE"/>
              </w:rPr>
              <w:t>6</w:t>
            </w:r>
            <w:r>
              <w:rPr>
                <w:rFonts w:eastAsia="Times New Roman" w:cs="Times New Roman" w:ascii="Times New Roman" w:hAnsi="Times New Roman"/>
                <w:sz w:val="18"/>
                <w:szCs w:val="18"/>
                <w:lang w:val="en-US" w:eastAsia="de-DE"/>
              </w:rPr>
              <w:t xml:space="preserve"> Campo Alemán)</w:t>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La Magdalena</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Z / 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AC</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 / BZ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3 (Unión Regional)</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2</w:t>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El Porvenir</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Z</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 (Cerro Cintepec)</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Los Mangos</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Z</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 Ejido leader</w:t>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 xml:space="preserve"> </w:t>
            </w:r>
            <w:r>
              <w:rPr>
                <w:rFonts w:eastAsia="Times New Roman" w:cs="Times New Roman" w:ascii="Times New Roman" w:hAnsi="Times New Roman"/>
                <w:sz w:val="18"/>
                <w:szCs w:val="18"/>
                <w:lang w:val="en-US" w:eastAsia="de-DE"/>
              </w:rPr>
              <w:t>25 (Cerro Cintepec)</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w:t>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Zapoapan</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Z</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3 (Cerro Cintepec)</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Hilario C. Salas</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Z / 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 / BZ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2 (Unión Regional)</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Miguel Hidalgo</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Z / 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BZ (borders CZ)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1 Local leader (Ecotourism cooperative)</w:t>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w:t>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Ocotal Chico</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 / BZ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1 (SSS Ocotales)</w:t>
            </w:r>
          </w:p>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1 (Café Popoluca)</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Ocotal Grande</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BZ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 xml:space="preserve">3 (Unión Regional) </w:t>
            </w:r>
          </w:p>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4 (Uxuctero)</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2</w:t>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 xml:space="preserve">Ocozotepec </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 / BZ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2 (Unión Regional)</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2</w:t>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 xml:space="preserve">Plan agrario </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BZ (borders CZ)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1Local leader</w:t>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2 (Unión Regional)</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2</w:t>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San Fernando</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 / BZ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1 (Unión Regional)</w:t>
            </w:r>
          </w:p>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1 (Cerro del Gallo)</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w:t>
            </w:r>
          </w:p>
        </w:tc>
      </w:tr>
      <w:tr>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Santa Marta</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BZ (borders CZ)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 Local leader</w:t>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w:t>
            </w:r>
          </w:p>
        </w:tc>
      </w:tr>
      <w:tr>
        <w:trPr>
          <w:trHeight w:val="252" w:hRule="atLeast"/>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eastAsia="Times New Roman" w:cs="Times New Roman" w:ascii="Times New Roman" w:hAnsi="Times New Roman"/>
                <w:sz w:val="18"/>
                <w:szCs w:val="18"/>
                <w:lang w:val="en-US" w:eastAsia="de-DE"/>
              </w:rPr>
              <w:t>Soteapan</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SSM</w:t>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E</w:t>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TZ / BZ</w:t>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 xml:space="preserve">1 Agronomist </w:t>
            </w:r>
          </w:p>
          <w:p>
            <w:pPr>
              <w:pStyle w:val="Normal"/>
              <w:spacing w:lineRule="auto" w:line="240" w:before="0" w:after="0"/>
              <w:jc w:val="center"/>
              <w:rPr>
                <w:rFonts w:ascii="Times New Roman" w:hAnsi="Times New Roman" w:eastAsia="Times New Roman" w:cs="Times New Roman"/>
                <w:sz w:val="18"/>
                <w:szCs w:val="18"/>
                <w:lang w:val="en-US" w:eastAsia="de-DE"/>
              </w:rPr>
            </w:pPr>
            <w:r>
              <w:rPr>
                <w:rFonts w:eastAsia="Times New Roman" w:cs="Times New Roman" w:ascii="Times New Roman" w:hAnsi="Times New Roman"/>
                <w:sz w:val="18"/>
                <w:szCs w:val="18"/>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2 (Café de la Sierra S.A,)</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18"/>
                <w:szCs w:val="18"/>
                <w:lang w:val="en-US" w:eastAsia="de-DE"/>
              </w:rPr>
              <w:t>1 ex-cooperative leader turned private plant owner</w:t>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12 (Unión Regional)</w:t>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w:t>
            </w:r>
          </w:p>
        </w:tc>
      </w:tr>
      <w:tr>
        <w:trPr>
          <w:trHeight w:val="252" w:hRule="atLeast"/>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b/>
                <w:b/>
                <w:sz w:val="18"/>
                <w:szCs w:val="18"/>
                <w:lang w:val="en-US"/>
              </w:rPr>
            </w:pPr>
            <w:r>
              <w:rPr>
                <w:rFonts w:eastAsia="Times New Roman" w:cs="Times New Roman" w:ascii="Times New Roman" w:hAnsi="Times New Roman"/>
                <w:b/>
                <w:sz w:val="18"/>
                <w:szCs w:val="18"/>
                <w:lang w:val="en-US" w:eastAsia="de-DE"/>
              </w:rPr>
              <w:t>Other interviewees</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r>
      <w:tr>
        <w:trPr>
          <w:trHeight w:val="252" w:hRule="atLeast"/>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sz w:val="18"/>
                <w:szCs w:val="18"/>
                <w:lang w:val="en-US"/>
              </w:rPr>
            </w:pPr>
            <w:r>
              <w:rPr>
                <w:rFonts w:eastAsia="Times New Roman" w:cs="Times New Roman" w:ascii="Times New Roman" w:hAnsi="Times New Roman"/>
                <w:sz w:val="18"/>
                <w:szCs w:val="18"/>
                <w:lang w:val="en-US" w:eastAsia="de-DE"/>
              </w:rPr>
              <w:t>Acayucan</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 (Café Junco)</w:t>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r>
      <w:tr>
        <w:trPr>
          <w:trHeight w:val="252" w:hRule="atLeast"/>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sz w:val="18"/>
                <w:szCs w:val="18"/>
                <w:lang w:val="en-US"/>
              </w:rPr>
            </w:pPr>
            <w:r>
              <w:rPr>
                <w:rFonts w:eastAsia="Times New Roman" w:cs="Times New Roman" w:ascii="Times New Roman" w:hAnsi="Times New Roman"/>
                <w:sz w:val="18"/>
                <w:szCs w:val="18"/>
                <w:lang w:val="en-US" w:eastAsia="de-DE"/>
              </w:rPr>
              <w:t>San Juan Covarrubias</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sz w:val="18"/>
                <w:szCs w:val="18"/>
                <w:lang w:val="en-US"/>
              </w:rPr>
            </w:pPr>
            <w:r>
              <w:rPr>
                <w:rFonts w:eastAsia="Times New Roman" w:cs="Times New Roman" w:ascii="Times New Roman" w:hAnsi="Times New Roman"/>
                <w:sz w:val="18"/>
                <w:szCs w:val="18"/>
                <w:lang w:val="en-US" w:eastAsia="de-DE"/>
              </w:rPr>
              <w:t>1 (Café Bordi)</w:t>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r>
      <w:tr>
        <w:trPr>
          <w:trHeight w:val="865" w:hRule="atLeast"/>
        </w:trPr>
        <w:tc>
          <w:tcPr>
            <w:tcW w:w="2076" w:type="dxa"/>
            <w:tcBorders>
              <w:top w:val="nil"/>
              <w:left w:val="nil"/>
              <w:bottom w:val="nil"/>
              <w:right w:val="nil"/>
              <w:insideH w:val="nil"/>
              <w:insideV w:val="nil"/>
            </w:tcBorders>
            <w:shd w:color="auto" w:fill="auto" w:val="clear"/>
            <w:vAlign w:val="center"/>
          </w:tcPr>
          <w:p>
            <w:pPr>
              <w:pStyle w:val="Normal"/>
              <w:spacing w:lineRule="auto" w:line="240" w:before="0" w:after="0"/>
              <w:rPr>
                <w:sz w:val="18"/>
                <w:szCs w:val="18"/>
                <w:lang w:val="en-US"/>
              </w:rPr>
            </w:pPr>
            <w:r>
              <w:rPr>
                <w:rFonts w:eastAsia="Times New Roman" w:cs="Times New Roman" w:ascii="Times New Roman" w:hAnsi="Times New Roman"/>
                <w:sz w:val="18"/>
                <w:szCs w:val="18"/>
                <w:lang w:val="en-US" w:eastAsia="de-DE"/>
              </w:rPr>
              <w:t>Catemaco</w:t>
            </w:r>
          </w:p>
        </w:tc>
        <w:tc>
          <w:tcPr>
            <w:tcW w:w="127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30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52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931"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3 LTBR management</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18"/>
                <w:szCs w:val="18"/>
                <w:lang w:val="en-US" w:eastAsia="de-DE"/>
              </w:rPr>
              <w:t>1 local conservationist</w:t>
            </w:r>
          </w:p>
        </w:tc>
        <w:tc>
          <w:tcPr>
            <w:tcW w:w="2097" w:type="dxa"/>
            <w:tcBorders>
              <w:top w:val="nil"/>
              <w:left w:val="nil"/>
              <w:bottom w:val="nil"/>
              <w:right w:val="nil"/>
              <w:insideH w:val="nil"/>
              <w:insideV w:val="nil"/>
            </w:tcBorders>
            <w:shd w:fill="auto" w:val="clear"/>
            <w:vAlign w:val="center"/>
          </w:tcPr>
          <w:p>
            <w:pPr>
              <w:pStyle w:val="Normal"/>
              <w:spacing w:lineRule="auto" w:line="240" w:before="0" w:after="0"/>
              <w:jc w:val="center"/>
              <w:rPr>
                <w:lang w:val="en-US"/>
              </w:rPr>
            </w:pPr>
            <w:r>
              <w:rPr>
                <w:rFonts w:eastAsia="Times New Roman" w:cs="Times New Roman" w:ascii="Times New Roman" w:hAnsi="Times New Roman"/>
                <w:sz w:val="18"/>
                <w:szCs w:val="18"/>
                <w:lang w:val="en-US" w:eastAsia="de-DE"/>
              </w:rPr>
              <w:t>1 (Café Oro de los Tuxtlas)</w:t>
            </w:r>
          </w:p>
        </w:tc>
        <w:tc>
          <w:tcPr>
            <w:tcW w:w="2327"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c>
          <w:tcPr>
            <w:tcW w:w="1753"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de-DE"/>
              </w:rPr>
            </w:pPr>
            <w:r>
              <w:rPr>
                <w:rFonts w:eastAsia="Times New Roman" w:cs="Times New Roman" w:ascii="Times New Roman" w:hAnsi="Times New Roman"/>
                <w:sz w:val="20"/>
                <w:szCs w:val="20"/>
                <w:lang w:val="en-US" w:eastAsia="de-DE"/>
              </w:rPr>
            </w:r>
          </w:p>
        </w:tc>
      </w:tr>
      <w:tr>
        <w:trPr>
          <w:trHeight w:val="397" w:hRule="atLeast"/>
        </w:trPr>
        <w:tc>
          <w:tcPr>
            <w:tcW w:w="14285" w:type="dxa"/>
            <w:gridSpan w:val="8"/>
            <w:tcBorders>
              <w:top w:val="nil"/>
              <w:left w:val="nil"/>
              <w:bottom w:val="nil"/>
              <w:right w:val="nil"/>
              <w:insideH w:val="nil"/>
              <w:insideV w:val="nil"/>
            </w:tcBorders>
            <w:shd w:color="auto" w:fill="auto" w:val="clear"/>
            <w:vAlign w:val="center"/>
          </w:tcPr>
          <w:p>
            <w:pPr>
              <w:pStyle w:val="Normal"/>
              <w:spacing w:lineRule="auto" w:line="240" w:before="0" w:after="0"/>
              <w:rPr>
                <w:rFonts w:ascii="Times New Roman" w:hAnsi="Times New Roman"/>
                <w:sz w:val="18"/>
                <w:szCs w:val="18"/>
              </w:rPr>
            </w:pPr>
            <w:r>
              <w:rPr>
                <w:rFonts w:ascii="Times New Roman" w:hAnsi="Times New Roman"/>
                <w:sz w:val="18"/>
                <w:szCs w:val="18"/>
                <w:vertAlign w:val="superscript"/>
                <w:lang w:val="en-US" w:eastAsia="de-DE"/>
              </w:rPr>
              <w:t>1</w:t>
            </w:r>
            <w:r>
              <w:rPr>
                <w:rFonts w:ascii="Times New Roman" w:hAnsi="Times New Roman"/>
                <w:sz w:val="18"/>
                <w:szCs w:val="18"/>
                <w:lang w:val="en-US" w:eastAsia="de-DE"/>
              </w:rPr>
              <w:t xml:space="preserve">:  </w:t>
            </w:r>
            <w:r>
              <w:rPr>
                <w:rFonts w:cs="Times New Roman" w:ascii="Times New Roman" w:hAnsi="Times New Roman"/>
                <w:sz w:val="18"/>
                <w:szCs w:val="18"/>
                <w:lang w:val="en-US" w:eastAsia="de-DE"/>
              </w:rPr>
              <w:t>Coffee catchment refer to the two broad coffee-producing regions described in the text: Zapoapan de Cabañas (Z) and Sierra de Santa Marta (SSM)</w:t>
            </w:r>
          </w:p>
        </w:tc>
      </w:tr>
      <w:tr>
        <w:trPr>
          <w:trHeight w:val="338" w:hRule="atLeast"/>
        </w:trPr>
        <w:tc>
          <w:tcPr>
            <w:tcW w:w="14285" w:type="dxa"/>
            <w:gridSpan w:val="8"/>
            <w:tcBorders>
              <w:top w:val="nil"/>
              <w:left w:val="nil"/>
              <w:bottom w:val="nil"/>
              <w:right w:val="nil"/>
              <w:insideH w:val="nil"/>
              <w:insideV w:val="nil"/>
            </w:tcBorders>
            <w:shd w:color="auto" w:fill="auto" w:val="clear"/>
            <w:vAlign w:val="center"/>
          </w:tcPr>
          <w:p>
            <w:pPr>
              <w:pStyle w:val="Normal"/>
              <w:spacing w:lineRule="auto" w:line="240" w:before="240" w:after="0"/>
              <w:jc w:val="both"/>
              <w:rPr>
                <w:rFonts w:ascii="Times New Roman" w:hAnsi="Times New Roman"/>
                <w:sz w:val="18"/>
                <w:szCs w:val="18"/>
              </w:rPr>
            </w:pPr>
            <w:r>
              <w:rPr>
                <w:rFonts w:cs="Times New Roman" w:ascii="Times New Roman" w:hAnsi="Times New Roman"/>
                <w:sz w:val="18"/>
                <w:szCs w:val="18"/>
                <w:vertAlign w:val="superscript"/>
                <w:lang w:val="en-US" w:eastAsia="de-DE"/>
              </w:rPr>
              <w:t>2</w:t>
            </w:r>
            <w:r>
              <w:rPr>
                <w:rFonts w:cs="Times New Roman" w:ascii="Times New Roman" w:hAnsi="Times New Roman"/>
                <w:sz w:val="18"/>
                <w:szCs w:val="18"/>
                <w:lang w:val="en-US" w:eastAsia="de-DE"/>
              </w:rPr>
              <w:t xml:space="preserve">: Land tenure distinguishes between private property in agricultural colonies (AC) and communal property under the </w:t>
            </w:r>
            <w:r>
              <w:rPr>
                <w:rFonts w:cs="Times New Roman" w:ascii="Times New Roman" w:hAnsi="Times New Roman"/>
                <w:i/>
                <w:sz w:val="18"/>
                <w:szCs w:val="18"/>
                <w:lang w:val="en-US" w:eastAsia="de-DE"/>
              </w:rPr>
              <w:t>ejido</w:t>
            </w:r>
            <w:r>
              <w:rPr>
                <w:rFonts w:cs="Times New Roman" w:ascii="Times New Roman" w:hAnsi="Times New Roman"/>
                <w:sz w:val="18"/>
                <w:szCs w:val="18"/>
                <w:lang w:val="en-US" w:eastAsia="de-DE"/>
              </w:rPr>
              <w:t xml:space="preserve"> regime (E).</w:t>
            </w:r>
          </w:p>
        </w:tc>
      </w:tr>
      <w:tr>
        <w:trPr>
          <w:trHeight w:val="587" w:hRule="atLeast"/>
        </w:trPr>
        <w:tc>
          <w:tcPr>
            <w:tcW w:w="14285" w:type="dxa"/>
            <w:gridSpan w:val="8"/>
            <w:tcBorders>
              <w:top w:val="nil"/>
              <w:left w:val="nil"/>
              <w:bottom w:val="nil"/>
              <w:right w:val="nil"/>
              <w:insideH w:val="nil"/>
              <w:insideV w:val="nil"/>
            </w:tcBorders>
            <w:shd w:color="auto" w:fill="auto" w:val="clear"/>
            <w:vAlign w:val="center"/>
          </w:tcPr>
          <w:p>
            <w:pPr>
              <w:pStyle w:val="Normal"/>
              <w:spacing w:lineRule="auto" w:line="240" w:before="240" w:after="0"/>
              <w:jc w:val="both"/>
              <w:rPr>
                <w:rFonts w:ascii="Times New Roman" w:hAnsi="Times New Roman"/>
                <w:sz w:val="18"/>
                <w:szCs w:val="18"/>
              </w:rPr>
            </w:pPr>
            <w:r>
              <w:rPr>
                <w:rFonts w:cs="Times New Roman" w:ascii="Times New Roman" w:hAnsi="Times New Roman"/>
                <w:sz w:val="18"/>
                <w:szCs w:val="18"/>
                <w:vertAlign w:val="superscript"/>
                <w:lang w:val="en-US" w:eastAsia="de-DE"/>
              </w:rPr>
              <w:t>3</w:t>
            </w:r>
            <w:r>
              <w:rPr>
                <w:rFonts w:cs="Times New Roman" w:ascii="Times New Roman" w:hAnsi="Times New Roman"/>
                <w:sz w:val="18"/>
                <w:szCs w:val="18"/>
                <w:lang w:val="en-US" w:eastAsia="de-DE"/>
              </w:rPr>
              <w:t>: LTBR zoning indicates the location of the community in relation to the zonation of UNESCO Biosphere Reserver, where TZ indicates the transition zone, BZ the buffer zone and CZ the Sierra de Santa Marta core zone</w:t>
            </w:r>
          </w:p>
        </w:tc>
      </w:tr>
      <w:tr>
        <w:trPr>
          <w:trHeight w:val="613" w:hRule="atLeast"/>
        </w:trPr>
        <w:tc>
          <w:tcPr>
            <w:tcW w:w="14285" w:type="dxa"/>
            <w:gridSpan w:val="8"/>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ascii="Times New Roman" w:hAnsi="Times New Roman"/>
                <w:sz w:val="18"/>
                <w:szCs w:val="18"/>
                <w:vertAlign w:val="superscript"/>
                <w:lang w:val="en-US" w:eastAsia="de-DE"/>
              </w:rPr>
              <w:t>4</w:t>
            </w:r>
            <w:r>
              <w:rPr>
                <w:rFonts w:ascii="Times New Roman" w:hAnsi="Times New Roman"/>
                <w:sz w:val="18"/>
                <w:szCs w:val="18"/>
                <w:lang w:val="en-US" w:eastAsia="de-DE"/>
              </w:rPr>
              <w:t xml:space="preserve">: The number within brackets indicate the number of interviewees for each group, irrespective of whether they were interviewed individually or in a group. The total number of interviewees amounts to 95. </w:t>
            </w:r>
            <w:bookmarkStart w:id="2" w:name="__DdeLink__12160_1096845765"/>
            <w:bookmarkEnd w:id="2"/>
            <w:r>
              <w:rPr>
                <w:rFonts w:ascii="Times New Roman" w:hAnsi="Times New Roman"/>
                <w:sz w:val="18"/>
                <w:szCs w:val="18"/>
                <w:lang w:val="en-US" w:eastAsia="de-DE"/>
              </w:rPr>
              <w:t xml:space="preserve"> </w:t>
            </w:r>
          </w:p>
        </w:tc>
      </w:tr>
      <w:tr>
        <w:trPr>
          <w:trHeight w:val="511" w:hRule="atLeast"/>
        </w:trPr>
        <w:tc>
          <w:tcPr>
            <w:tcW w:w="14285" w:type="dxa"/>
            <w:gridSpan w:val="8"/>
            <w:tcBorders>
              <w:top w:val="nil"/>
              <w:left w:val="nil"/>
              <w:bottom w:val="nil"/>
              <w:right w:val="nil"/>
              <w:insideH w:val="nil"/>
              <w:insideV w:val="nil"/>
            </w:tcBorders>
            <w:shd w:color="auto" w:fill="auto" w:val="clear"/>
            <w:vAlign w:val="center"/>
          </w:tcPr>
          <w:p>
            <w:pPr>
              <w:pStyle w:val="Normal"/>
              <w:spacing w:lineRule="auto" w:line="240" w:before="0" w:after="0"/>
              <w:rPr>
                <w:rFonts w:ascii="Times New Roman" w:hAnsi="Times New Roman"/>
                <w:sz w:val="18"/>
                <w:szCs w:val="18"/>
              </w:rPr>
            </w:pPr>
            <w:r>
              <w:rPr>
                <w:rFonts w:ascii="Times New Roman" w:hAnsi="Times New Roman"/>
                <w:sz w:val="18"/>
                <w:szCs w:val="18"/>
                <w:vertAlign w:val="superscript"/>
                <w:lang w:val="en-US" w:eastAsia="de-DE"/>
              </w:rPr>
              <w:t>5</w:t>
            </w:r>
            <w:r>
              <w:rPr>
                <w:rFonts w:ascii="Times New Roman" w:hAnsi="Times New Roman"/>
                <w:sz w:val="18"/>
                <w:szCs w:val="18"/>
                <w:lang w:val="en-US" w:eastAsia="de-DE"/>
              </w:rPr>
              <w:t>: Private coffee processing and roasting firms</w:t>
            </w:r>
          </w:p>
        </w:tc>
      </w:tr>
      <w:tr>
        <w:trPr>
          <w:trHeight w:val="511" w:hRule="atLeast"/>
        </w:trPr>
        <w:tc>
          <w:tcPr>
            <w:tcW w:w="14285" w:type="dxa"/>
            <w:gridSpan w:val="8"/>
            <w:tcBorders>
              <w:top w:val="nil"/>
              <w:left w:val="nil"/>
              <w:bottom w:val="nil"/>
              <w:right w:val="nil"/>
              <w:insideH w:val="nil"/>
              <w:insideV w:val="nil"/>
            </w:tcBorders>
            <w:shd w:color="auto" w:fill="auto" w:val="clear"/>
            <w:vAlign w:val="center"/>
          </w:tcPr>
          <w:p>
            <w:pPr>
              <w:pStyle w:val="Normal"/>
              <w:spacing w:lineRule="auto" w:line="240" w:before="0" w:after="0"/>
              <w:rPr>
                <w:lang w:val="en-US"/>
              </w:rPr>
            </w:pPr>
            <w:r>
              <w:rPr>
                <w:rFonts w:ascii="Times New Roman" w:hAnsi="Times New Roman"/>
                <w:sz w:val="18"/>
                <w:szCs w:val="18"/>
                <w:vertAlign w:val="superscript"/>
                <w:lang w:val="en-US" w:eastAsia="de-DE"/>
              </w:rPr>
              <w:t>6</w:t>
            </w:r>
            <w:r>
              <w:rPr>
                <w:rFonts w:ascii="Times New Roman" w:hAnsi="Times New Roman"/>
                <w:sz w:val="18"/>
                <w:szCs w:val="18"/>
                <w:lang w:val="en-US" w:eastAsia="de-DE"/>
              </w:rPr>
              <w:t>: SSS, Sociedad de Solidaridad Social, denotes a specific form of civil organizations.</w:t>
            </w:r>
          </w:p>
        </w:tc>
      </w:tr>
    </w:tbl>
    <w:p>
      <w:pPr>
        <w:pStyle w:val="Normal"/>
        <w:spacing w:before="240" w:after="120"/>
        <w:jc w:val="both"/>
        <w:rPr>
          <w:lang w:val="en-US"/>
        </w:rPr>
      </w:pPr>
      <w:r>
        <w:rPr>
          <w:lang w:val="en-US"/>
        </w:rPr>
      </w:r>
    </w:p>
    <w:sectPr>
      <w:type w:val="nextPage"/>
      <w:pgSz w:orient="landscape" w:w="16838" w:h="11906"/>
      <w:pgMar w:left="1134"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ucida Grande">
    <w:charset w:val="01"/>
    <w:family w:val="swiss"/>
    <w:pitch w:val="default"/>
  </w:font>
  <w:font w:name="Frutiger Linotype">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s-MX"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6014"/>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eastAsia="es-MX" w:bidi="ar-SA" w:val="en-US"/>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a7328d"/>
    <w:rPr>
      <w:sz w:val="18"/>
      <w:szCs w:val="18"/>
    </w:rPr>
  </w:style>
  <w:style w:type="character" w:styleId="CommentTextChar" w:customStyle="1">
    <w:name w:val="Comment Text Char"/>
    <w:basedOn w:val="DefaultParagraphFont"/>
    <w:link w:val="CommentText"/>
    <w:uiPriority w:val="99"/>
    <w:semiHidden/>
    <w:qFormat/>
    <w:rsid w:val="00a7328d"/>
    <w:rPr>
      <w:sz w:val="24"/>
      <w:szCs w:val="24"/>
    </w:rPr>
  </w:style>
  <w:style w:type="character" w:styleId="CommentSubjectChar" w:customStyle="1">
    <w:name w:val="Comment Subject Char"/>
    <w:basedOn w:val="CommentTextChar"/>
    <w:link w:val="CommentSubject"/>
    <w:uiPriority w:val="99"/>
    <w:semiHidden/>
    <w:qFormat/>
    <w:rsid w:val="00a7328d"/>
    <w:rPr>
      <w:b/>
      <w:bCs/>
      <w:sz w:val="20"/>
      <w:szCs w:val="20"/>
    </w:rPr>
  </w:style>
  <w:style w:type="character" w:styleId="BalloonTextChar" w:customStyle="1">
    <w:name w:val="Balloon Text Char"/>
    <w:basedOn w:val="DefaultParagraphFont"/>
    <w:link w:val="BalloonText"/>
    <w:uiPriority w:val="99"/>
    <w:semiHidden/>
    <w:qFormat/>
    <w:rsid w:val="00a7328d"/>
    <w:rPr>
      <w:rFonts w:ascii="Lucida Grande" w:hAnsi="Lucida Grande" w:cs="Lucida Grande"/>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Heading">
    <w:name w:val="Heading"/>
    <w:basedOn w:val="Normal"/>
    <w:next w:val="TextBody"/>
    <w:qFormat/>
    <w:pPr>
      <w:keepNext/>
      <w:spacing w:before="240" w:after="120"/>
    </w:pPr>
    <w:rPr>
      <w:rFonts w:ascii="Frutiger Linotype" w:hAnsi="Frutiger Linotype" w:eastAsia="Noto Sans CJK SC Regular" w:cs="FreeSans"/>
      <w:sz w:val="22"/>
      <w:szCs w:val="28"/>
    </w:rPr>
  </w:style>
  <w:style w:type="paragraph" w:styleId="TextBody">
    <w:name w:val="Body Text"/>
    <w:basedOn w:val="Normal"/>
    <w:pPr>
      <w:spacing w:lineRule="auto" w:line="288" w:before="0" w:after="140"/>
    </w:pPr>
    <w:rPr/>
  </w:style>
  <w:style w:type="paragraph" w:styleId="List">
    <w:name w:val="List"/>
    <w:basedOn w:val="TextBody"/>
    <w:pPr/>
    <w:rPr>
      <w:rFonts w:ascii="Frutiger Linotype" w:hAnsi="Frutiger Linotype" w:cs="FreeSans"/>
    </w:rPr>
  </w:style>
  <w:style w:type="paragraph" w:styleId="Caption">
    <w:name w:val="Caption"/>
    <w:basedOn w:val="Normal"/>
    <w:qFormat/>
    <w:pPr>
      <w:suppressLineNumbers/>
      <w:spacing w:before="120" w:after="120"/>
    </w:pPr>
    <w:rPr>
      <w:rFonts w:ascii="Frutiger Linotype" w:hAnsi="Frutiger Linotype" w:cs="FreeSans"/>
      <w:i/>
      <w:iCs/>
      <w:sz w:val="22"/>
      <w:szCs w:val="24"/>
    </w:rPr>
  </w:style>
  <w:style w:type="paragraph" w:styleId="Index">
    <w:name w:val="Index"/>
    <w:basedOn w:val="Normal"/>
    <w:qFormat/>
    <w:pPr>
      <w:suppressLineNumbers/>
    </w:pPr>
    <w:rPr>
      <w:rFonts w:ascii="Frutiger Linotype" w:hAnsi="Frutiger Linotype" w:cs="FreeSans"/>
    </w:rPr>
  </w:style>
  <w:style w:type="paragraph" w:styleId="Berschrift">
    <w:name w:val="Überschrift"/>
    <w:basedOn w:val="Normal"/>
    <w:qFormat/>
    <w:pPr>
      <w:keepNext/>
      <w:spacing w:before="240" w:after="120"/>
    </w:pPr>
    <w:rPr>
      <w:rFonts w:ascii="Frutiger Linotype" w:hAnsi="Frutiger Linotype" w:eastAsia="Noto Sans CJK SC Regular" w:cs="FreeSans"/>
      <w:sz w:val="22"/>
      <w:szCs w:val="28"/>
    </w:rPr>
  </w:style>
  <w:style w:type="paragraph" w:styleId="Verzeichnis">
    <w:name w:val="Verzeichnis"/>
    <w:basedOn w:val="Normal"/>
    <w:qFormat/>
    <w:pPr>
      <w:suppressLineNumbers/>
    </w:pPr>
    <w:rPr>
      <w:rFonts w:ascii="Frutiger Linotype" w:hAnsi="Frutiger Linotype" w:cs="FreeSans"/>
    </w:rPr>
  </w:style>
  <w:style w:type="paragraph" w:styleId="ListParagraph">
    <w:name w:val="List Paragraph"/>
    <w:basedOn w:val="Normal"/>
    <w:uiPriority w:val="34"/>
    <w:qFormat/>
    <w:rsid w:val="004462c9"/>
    <w:pPr>
      <w:spacing w:before="0" w:after="200"/>
      <w:ind w:left="720" w:hanging="0"/>
      <w:contextualSpacing/>
    </w:pPr>
    <w:rPr/>
  </w:style>
  <w:style w:type="paragraph" w:styleId="TabellenInhalt" w:customStyle="1">
    <w:name w:val="Tabellen Inhalt"/>
    <w:basedOn w:val="Normal"/>
    <w:qFormat/>
    <w:rsid w:val="004462c9"/>
    <w:pPr>
      <w:widowControl w:val="false"/>
      <w:suppressLineNumbers/>
      <w:suppressAutoHyphens w:val="true"/>
      <w:spacing w:lineRule="auto" w:line="240" w:before="0" w:after="0"/>
    </w:pPr>
    <w:rPr>
      <w:rFonts w:ascii="Times New Roman" w:hAnsi="Times New Roman" w:eastAsia="SimSun" w:cs="Mangal"/>
      <w:sz w:val="24"/>
      <w:szCs w:val="24"/>
      <w:lang w:eastAsia="hi-IN" w:bidi="hi-IN"/>
    </w:rPr>
  </w:style>
  <w:style w:type="paragraph" w:styleId="Annotationtext">
    <w:name w:val="annotation text"/>
    <w:basedOn w:val="Normal"/>
    <w:link w:val="CommentTextChar"/>
    <w:uiPriority w:val="99"/>
    <w:semiHidden/>
    <w:unhideWhenUsed/>
    <w:qFormat/>
    <w:rsid w:val="00a7328d"/>
    <w:pPr>
      <w:spacing w:lineRule="auto" w:line="240"/>
    </w:pPr>
    <w:rPr>
      <w:sz w:val="24"/>
      <w:szCs w:val="24"/>
    </w:rPr>
  </w:style>
  <w:style w:type="paragraph" w:styleId="Annotationsubject">
    <w:name w:val="annotation subject"/>
    <w:basedOn w:val="Annotationtext"/>
    <w:link w:val="CommentSubjectChar"/>
    <w:uiPriority w:val="99"/>
    <w:semiHidden/>
    <w:unhideWhenUsed/>
    <w:qFormat/>
    <w:rsid w:val="00a7328d"/>
    <w:pPr/>
    <w:rPr>
      <w:b/>
      <w:bCs/>
      <w:sz w:val="20"/>
      <w:szCs w:val="20"/>
    </w:rPr>
  </w:style>
  <w:style w:type="paragraph" w:styleId="BalloonText">
    <w:name w:val="Balloon Text"/>
    <w:basedOn w:val="Normal"/>
    <w:link w:val="BalloonTextChar"/>
    <w:uiPriority w:val="99"/>
    <w:semiHidden/>
    <w:unhideWhenUsed/>
    <w:qFormat/>
    <w:rsid w:val="00a7328d"/>
    <w:pPr>
      <w:spacing w:lineRule="auto" w:line="240" w:before="0" w:after="0"/>
    </w:pPr>
    <w:rPr>
      <w:rFonts w:ascii="Lucida Grande" w:hAnsi="Lucida Grande" w:cs="Lucida Grande"/>
      <w:sz w:val="18"/>
      <w:szCs w:val="18"/>
    </w:rPr>
  </w:style>
  <w:style w:type="paragraph" w:styleId="Revision">
    <w:name w:val="Revision"/>
    <w:uiPriority w:val="99"/>
    <w:semiHidden/>
    <w:qFormat/>
    <w:rsid w:val="00ae686a"/>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eastAsia="es-MX" w:bidi="ar-SA" w:val="en-US"/>
    </w:rPr>
  </w:style>
  <w:style w:type="paragraph" w:styleId="Tabellenberschrift">
    <w:name w:val="Tabellen Überschrift"/>
    <w:basedOn w:val="TabellenInhalt"/>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462c9"/>
    <w:pPr>
      <w:spacing w:after="0" w:line="240" w:lineRule="auto"/>
    </w:pPr>
    <w:rPr>
      <w:lang w:eastAsia="de-D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LibreOffice/5.1.4.2$Linux_X86_64 LibreOffice_project/10m0$Build-2</Application>
  <Pages>2</Pages>
  <Words>375</Words>
  <Characters>1778</Characters>
  <CharactersWithSpaces>2050</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2016-08-16T03:03:00Z</dcterms:created>
  <dc:creator/>
  <dc:description/>
  <dc:language>de-DE</dc:language>
  <cp:lastModifiedBy>Cristina Vega</cp:lastModifiedBy>
  <cp:lastPrinted>2016-03-11T14:36:00Z</cp:lastPrinted>
  <dcterms:modified xsi:type="dcterms:W3CDTF">2016-09-20T14:33:15Z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