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both"/>
        <w:rPr>
          <w:i w:val="false"/>
          <w:i w:val="false"/>
          <w:iCs w:val="false"/>
          <w:sz w:val="28"/>
          <w:szCs w:val="28"/>
          <w:lang w:val="en-US"/>
        </w:rPr>
      </w:pPr>
      <w:bookmarkStart w:id="0" w:name="_GoBack"/>
      <w:bookmarkEnd w:id="0"/>
      <w:r>
        <w:rPr>
          <w:rFonts w:cs="Times New Roman" w:ascii="Times New Roman" w:hAnsi="Times New Roman"/>
          <w:i w:val="false"/>
          <w:iCs w:val="false"/>
          <w:sz w:val="28"/>
          <w:szCs w:val="28"/>
          <w:lang w:val="en-US"/>
        </w:rPr>
        <w:t>Table S3 – An overview of advantages and disadvantages of cooperative membership</w:t>
      </w:r>
      <w:bookmarkStart w:id="1" w:name="__DdeLink__23507_1652608101"/>
      <w:bookmarkEnd w:id="1"/>
      <w:r>
        <w:rPr>
          <w:rFonts w:cs="Times New Roman" w:ascii="Times New Roman" w:hAnsi="Times New Roman"/>
          <w:i w:val="false"/>
          <w:iCs w:val="false"/>
          <w:sz w:val="28"/>
          <w:szCs w:val="28"/>
          <w:vertAlign w:val="superscript"/>
          <w:lang w:val="en-US"/>
        </w:rPr>
        <w:t>1</w:t>
      </w:r>
    </w:p>
    <w:p>
      <w:pPr>
        <w:pStyle w:val="Normal"/>
        <w:spacing w:before="120" w:after="120"/>
        <w:jc w:val="both"/>
        <w:rPr>
          <w:rFonts w:ascii="Times New Roman" w:hAnsi="Times New Roman" w:cs="Times New Roman"/>
          <w:lang w:val="en-US"/>
        </w:rPr>
      </w:pPr>
      <w:r>
        <w:rPr>
          <w:rFonts w:cs="Times New Roman" w:ascii="Times New Roman" w:hAnsi="Times New Roman"/>
          <w:lang w:val="en-US"/>
        </w:rPr>
      </w:r>
    </w:p>
    <w:tbl>
      <w:tblPr>
        <w:tblW w:w="14003" w:type="dxa"/>
        <w:jc w:val="left"/>
        <w:tblInd w:w="59" w:type="dxa"/>
        <w:tblBorders/>
        <w:tblCellMar>
          <w:top w:w="0" w:type="dxa"/>
          <w:left w:w="70" w:type="dxa"/>
          <w:bottom w:w="0" w:type="dxa"/>
          <w:right w:w="70" w:type="dxa"/>
        </w:tblCellMar>
        <w:tblLook w:val="04a0"/>
      </w:tblPr>
      <w:tblGrid>
        <w:gridCol w:w="6970"/>
        <w:gridCol w:w="7032"/>
      </w:tblGrid>
      <w:tr>
        <w:trPr>
          <w:trHeight w:val="421" w:hRule="atLeast"/>
        </w:trPr>
        <w:tc>
          <w:tcPr>
            <w:tcW w:w="6970" w:type="dxa"/>
            <w:tcBorders/>
            <w:shd w:fill="auto" w:val="clear"/>
            <w:vAlign w:val="center"/>
          </w:tcPr>
          <w:p>
            <w:pPr>
              <w:pStyle w:val="Normal"/>
              <w:spacing w:lineRule="auto" w:line="240" w:before="0" w:after="0"/>
              <w:ind w:left="0" w:right="0" w:hanging="0"/>
              <w:jc w:val="left"/>
              <w:rPr>
                <w:rFonts w:ascii="Times New Roman" w:hAnsi="Times New Roman" w:eastAsia="Times New Roman" w:cs="Times New Roman"/>
                <w:color w:val="000000"/>
                <w:sz w:val="20"/>
                <w:szCs w:val="20"/>
                <w:lang w:val="en-US" w:eastAsia="de-DE"/>
              </w:rPr>
            </w:pPr>
            <w:r>
              <w:rPr>
                <w:rFonts w:eastAsia="Times New Roman" w:cs="Times New Roman" w:ascii="Times New Roman" w:hAnsi="Times New Roman"/>
                <w:b/>
                <w:color w:val="000000"/>
                <w:sz w:val="20"/>
                <w:szCs w:val="20"/>
                <w:lang w:val="en-US" w:eastAsia="de-DE"/>
              </w:rPr>
              <w:t>Benefits / Opportunities</w:t>
            </w:r>
          </w:p>
        </w:tc>
        <w:tc>
          <w:tcPr>
            <w:tcW w:w="7032" w:type="dxa"/>
            <w:tcBorders/>
            <w:shd w:fill="auto" w:val="clear"/>
            <w:vAlign w:val="center"/>
          </w:tcPr>
          <w:p>
            <w:pPr>
              <w:pStyle w:val="Normal"/>
              <w:spacing w:lineRule="auto" w:line="240" w:before="0" w:after="0"/>
              <w:ind w:left="0" w:right="0" w:hanging="0"/>
              <w:jc w:val="left"/>
              <w:rPr>
                <w:rFonts w:ascii="Times New Roman" w:hAnsi="Times New Roman"/>
                <w:sz w:val="20"/>
                <w:szCs w:val="20"/>
              </w:rPr>
            </w:pPr>
            <w:r>
              <w:rPr>
                <w:rFonts w:eastAsia="Times New Roman" w:cs="Times New Roman" w:ascii="Times New Roman" w:hAnsi="Times New Roman"/>
                <w:b/>
                <w:bCs/>
                <w:color w:val="000000"/>
                <w:sz w:val="20"/>
                <w:szCs w:val="20"/>
                <w:lang w:val="en-US" w:eastAsia="de-DE"/>
              </w:rPr>
              <w:t>Constrains / Risks</w:t>
            </w:r>
          </w:p>
        </w:tc>
      </w:tr>
      <w:tr>
        <w:trPr>
          <w:trHeight w:val="300" w:hRule="atLeast"/>
        </w:trPr>
        <w:tc>
          <w:tcPr>
            <w:tcW w:w="6970" w:type="dxa"/>
            <w:tcBorders/>
            <w:shd w:color="auto" w:fill="auto" w:val="clear"/>
            <w:vAlign w:val="center"/>
          </w:tcPr>
          <w:p>
            <w:pPr>
              <w:pStyle w:val="ListParagraph"/>
              <w:widowControl/>
              <w:bidi w:val="0"/>
              <w:spacing w:lineRule="auto" w:line="240" w:before="0" w:after="0"/>
              <w:ind w:left="0" w:right="0" w:hanging="0"/>
              <w:contextualSpacing/>
              <w:jc w:val="left"/>
              <w:rPr>
                <w:rFonts w:ascii="Times New Roman" w:hAnsi="Times New Roman"/>
                <w:b w:val="false"/>
                <w:b w:val="false"/>
                <w:bCs w:val="false"/>
                <w:i/>
                <w:i/>
                <w:iCs/>
                <w:sz w:val="20"/>
                <w:szCs w:val="20"/>
              </w:rPr>
            </w:pPr>
            <w:r>
              <w:rPr>
                <w:rFonts w:eastAsia="Times New Roman" w:cs="Times New Roman" w:ascii="Times New Roman" w:hAnsi="Times New Roman"/>
                <w:b w:val="false"/>
                <w:bCs w:val="false"/>
                <w:i/>
                <w:iCs/>
                <w:color w:val="000000"/>
                <w:sz w:val="20"/>
                <w:szCs w:val="20"/>
                <w:lang w:val="en-US" w:eastAsia="de-DE"/>
              </w:rPr>
              <w:t>Financial resources and processing infrastructure</w:t>
            </w:r>
          </w:p>
        </w:tc>
        <w:tc>
          <w:tcPr>
            <w:tcW w:w="7032" w:type="dxa"/>
            <w:tcBorders/>
            <w:shd w:color="auto" w:fill="auto" w:val="clear"/>
            <w:vAlign w:val="center"/>
          </w:tcPr>
          <w:p>
            <w:pPr>
              <w:pStyle w:val="Normal"/>
              <w:spacing w:lineRule="auto" w:line="240" w:before="0" w:after="0"/>
              <w:ind w:left="0" w:right="0" w:hanging="0"/>
              <w:jc w:val="left"/>
              <w:rPr>
                <w:rFonts w:ascii="Times New Roman" w:hAnsi="Times New Roman" w:eastAsia="Times New Roman" w:cs="Times New Roman"/>
                <w:color w:val="000000"/>
                <w:sz w:val="20"/>
                <w:szCs w:val="20"/>
                <w:lang w:val="en-US" w:eastAsia="de-DE"/>
              </w:rPr>
            </w:pPr>
            <w:r>
              <w:rPr>
                <w:rFonts w:eastAsia="Times New Roman" w:cs="Times New Roman" w:ascii="Times New Roman" w:hAnsi="Times New Roman"/>
                <w:color w:val="000000"/>
                <w:sz w:val="20"/>
                <w:szCs w:val="20"/>
                <w:lang w:val="en-US" w:eastAsia="de-DE"/>
              </w:rPr>
            </w:r>
          </w:p>
        </w:tc>
      </w:tr>
      <w:tr>
        <w:trPr>
          <w:trHeight w:val="1543" w:hRule="atLeast"/>
        </w:trPr>
        <w:tc>
          <w:tcPr>
            <w:tcW w:w="6970" w:type="dxa"/>
            <w:tcBorders/>
            <w:shd w:color="auto" w:fill="auto" w:val="clear"/>
            <w:vAlign w:val="center"/>
          </w:tcPr>
          <w:p>
            <w:pPr>
              <w:pStyle w:val="ListParagraph"/>
              <w:spacing w:lineRule="auto" w:line="240" w:before="0" w:after="0"/>
              <w:ind w:left="0" w:right="0" w:hanging="0"/>
              <w:contextualSpacing/>
              <w:jc w:val="left"/>
              <w:rPr>
                <w:lang w:val="en-US"/>
              </w:rPr>
            </w:pPr>
            <w:r>
              <w:rPr>
                <w:rFonts w:eastAsia="Times New Roman" w:cs="Times New Roman" w:ascii="Times New Roman" w:hAnsi="Times New Roman"/>
                <w:sz w:val="20"/>
                <w:szCs w:val="20"/>
                <w:lang w:val="en-US" w:eastAsia="de-DE"/>
              </w:rPr>
              <w:t>Cooperatives can:</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provide pre-financing to cover production and harvest costs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provide access to collectively-owned processing infrastructure</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pool resources to improve collective processing infrastructure and equipment</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color w:val="000000"/>
                <w:sz w:val="20"/>
                <w:szCs w:val="20"/>
                <w:lang w:val="en-US" w:eastAsia="de-DE"/>
              </w:rPr>
              <w:t>provide assistance in applying for collective and individual public subsidies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color w:val="000000"/>
                <w:sz w:val="20"/>
                <w:szCs w:val="20"/>
                <w:lang w:val="en-US" w:eastAsia="de-DE"/>
              </w:rPr>
              <w:t>provide financial security nets (loans in times of crisis, insurance)</w:t>
            </w:r>
          </w:p>
        </w:tc>
        <w:tc>
          <w:tcPr>
            <w:tcW w:w="7032" w:type="dxa"/>
            <w:tcBorders/>
            <w:shd w:color="auto" w:fill="auto" w:val="clear"/>
            <w:vAlign w:val="center"/>
          </w:tcPr>
          <w:p>
            <w:pPr>
              <w:pStyle w:val="ListParagraph"/>
              <w:spacing w:lineRule="auto" w:line="240" w:before="0" w:after="0"/>
              <w:ind w:left="0" w:right="0" w:hanging="0"/>
              <w:contextualSpacing/>
              <w:jc w:val="left"/>
              <w:rPr>
                <w:lang w:val="en-US"/>
              </w:rPr>
            </w:pPr>
            <w:r>
              <w:rPr>
                <w:rFonts w:eastAsia="Times New Roman" w:cs="Times New Roman" w:ascii="Times New Roman" w:hAnsi="Times New Roman"/>
                <w:color w:val="000000"/>
                <w:sz w:val="20"/>
                <w:szCs w:val="20"/>
                <w:lang w:val="en-US" w:eastAsia="de-DE"/>
              </w:rPr>
              <w:t>Producers bear substantial responsibility, including:</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color w:val="000000"/>
                <w:sz w:val="20"/>
                <w:szCs w:val="20"/>
                <w:lang w:val="en-US" w:eastAsia="de-DE"/>
              </w:rPr>
              <w:t>collective financing of running, maintenance and upgrading costs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color w:val="000000"/>
                <w:sz w:val="20"/>
                <w:szCs w:val="20"/>
                <w:lang w:val="en-US" w:eastAsia="de-DE"/>
              </w:rPr>
              <w:t>collective liability in case of non-fulfillment of contractual arrangements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color w:val="000000"/>
                <w:sz w:val="20"/>
                <w:szCs w:val="20"/>
                <w:lang w:val="en-US" w:eastAsia="de-DE"/>
              </w:rPr>
              <w:t>This can imply that:</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private investment capacity may be substantially reduced</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producers may have to mortgage their individual assets to raise sufficient capital</w:t>
            </w:r>
          </w:p>
        </w:tc>
      </w:tr>
      <w:tr>
        <w:trPr>
          <w:trHeight w:val="282" w:hRule="atLeast"/>
        </w:trPr>
        <w:tc>
          <w:tcPr>
            <w:tcW w:w="6970" w:type="dxa"/>
            <w:tcBorders/>
            <w:shd w:color="auto" w:fill="auto" w:val="clear"/>
            <w:vAlign w:val="center"/>
          </w:tcPr>
          <w:p>
            <w:pPr>
              <w:pStyle w:val="ListParagraph"/>
              <w:spacing w:lineRule="auto" w:line="240" w:before="0" w:after="0"/>
              <w:ind w:left="0" w:right="0" w:hanging="0"/>
              <w:contextualSpacing/>
              <w:jc w:val="left"/>
              <w:rPr>
                <w:rFonts w:ascii="Times New Roman" w:hAnsi="Times New Roman"/>
                <w:i/>
                <w:i/>
                <w:iCs/>
                <w:sz w:val="20"/>
                <w:szCs w:val="20"/>
              </w:rPr>
            </w:pPr>
            <w:r>
              <w:rPr>
                <w:rFonts w:eastAsia="Times New Roman" w:cs="Times New Roman" w:ascii="Times New Roman" w:hAnsi="Times New Roman"/>
                <w:i/>
                <w:iCs/>
                <w:color w:val="000000"/>
                <w:sz w:val="20"/>
                <w:szCs w:val="20"/>
                <w:lang w:val="en-US" w:eastAsia="de-DE"/>
              </w:rPr>
              <w:t>Agricultural extension</w:t>
            </w:r>
          </w:p>
        </w:tc>
        <w:tc>
          <w:tcPr>
            <w:tcW w:w="7032" w:type="dxa"/>
            <w:tcBorders/>
            <w:shd w:color="auto" w:fill="auto" w:val="clear"/>
            <w:vAlign w:val="center"/>
          </w:tcPr>
          <w:p>
            <w:pPr>
              <w:pStyle w:val="Normal"/>
              <w:spacing w:lineRule="auto" w:line="240" w:before="0" w:after="0"/>
              <w:ind w:left="0" w:right="0" w:hanging="0"/>
              <w:jc w:val="left"/>
              <w:rPr>
                <w:rFonts w:eastAsia="Times New Roman" w:cs="Times New Roman"/>
                <w:color w:val="000000"/>
                <w:lang w:val="en-US" w:eastAsia="de-DE"/>
              </w:rPr>
            </w:pPr>
            <w:r>
              <w:rPr>
                <w:rFonts w:eastAsia="Times New Roman" w:cs="Times New Roman"/>
                <w:color w:val="000000"/>
                <w:lang w:val="en-US" w:eastAsia="de-DE"/>
              </w:rPr>
            </w:r>
          </w:p>
        </w:tc>
      </w:tr>
      <w:tr>
        <w:trPr>
          <w:trHeight w:val="1556" w:hRule="atLeast"/>
        </w:trPr>
        <w:tc>
          <w:tcPr>
            <w:tcW w:w="6970" w:type="dxa"/>
            <w:tcBorders/>
            <w:shd w:color="auto" w:fill="auto" w:val="clear"/>
            <w:vAlign w:val="center"/>
          </w:tcPr>
          <w:p>
            <w:pPr>
              <w:pStyle w:val="ListParagraph"/>
              <w:spacing w:lineRule="auto" w:line="240" w:before="0" w:after="0"/>
              <w:ind w:left="0" w:right="0" w:hanging="0"/>
              <w:contextualSpacing/>
              <w:jc w:val="left"/>
              <w:rPr>
                <w:lang w:val="en-US"/>
              </w:rPr>
            </w:pPr>
            <w:r>
              <w:rPr>
                <w:rFonts w:eastAsia="Times New Roman" w:cs="Times New Roman" w:ascii="Times New Roman" w:hAnsi="Times New Roman"/>
                <w:sz w:val="20"/>
                <w:szCs w:val="20"/>
                <w:lang w:val="en-US" w:eastAsia="de-DE"/>
              </w:rPr>
              <w:t>Cooperatives can foster improvement in coffee quality and quantity by:</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providing information, technical assistance or support in kind</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seeking Fair Trade and organic certification</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facilitating organic conversion</w:t>
            </w:r>
          </w:p>
        </w:tc>
        <w:tc>
          <w:tcPr>
            <w:tcW w:w="7032" w:type="dxa"/>
            <w:tcBorders/>
            <w:shd w:color="auto" w:fill="auto" w:val="clear"/>
            <w:vAlign w:val="center"/>
          </w:tcPr>
          <w:p>
            <w:pPr>
              <w:pStyle w:val="ListParagraph"/>
              <w:spacing w:lineRule="auto" w:line="240" w:before="0" w:after="0"/>
              <w:ind w:left="0" w:right="0" w:hanging="0"/>
              <w:contextualSpacing/>
              <w:jc w:val="left"/>
              <w:rPr>
                <w:lang w:val="en-US"/>
              </w:rPr>
            </w:pPr>
            <w:r>
              <w:rPr>
                <w:rFonts w:eastAsia="Times New Roman" w:cs="Times New Roman" w:ascii="Times New Roman" w:hAnsi="Times New Roman"/>
                <w:color w:val="000000"/>
                <w:sz w:val="20"/>
                <w:szCs w:val="20"/>
                <w:lang w:val="en-US" w:eastAsia="de-DE"/>
              </w:rPr>
              <w:t>In conventional / organic systems: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color w:val="000000"/>
                <w:sz w:val="20"/>
                <w:szCs w:val="20"/>
                <w:lang w:val="en-US" w:eastAsia="de-DE"/>
              </w:rPr>
              <w:t>lack of resources prevent access to agricultural extension methods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color w:val="000000"/>
                <w:sz w:val="20"/>
                <w:szCs w:val="20"/>
                <w:lang w:val="en-US" w:eastAsia="de-DE"/>
              </w:rPr>
              <w:t xml:space="preserve">In organic systems: </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color w:val="000000"/>
                <w:sz w:val="20"/>
                <w:szCs w:val="20"/>
                <w:lang w:val="en-US" w:eastAsia="de-DE"/>
              </w:rPr>
              <w:t>conversion is primarily funded by producers themselves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color w:val="000000"/>
                <w:sz w:val="20"/>
                <w:szCs w:val="20"/>
                <w:lang w:val="en-US" w:eastAsia="de-DE"/>
              </w:rPr>
              <w:t>meeting high organic quality standards is more labor intensive</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color w:val="000000"/>
                <w:sz w:val="20"/>
                <w:szCs w:val="20"/>
                <w:lang w:val="en-US" w:eastAsia="de-DE"/>
              </w:rPr>
              <w:t>producers incur penalties if they do not meet these quality standards</w:t>
            </w:r>
          </w:p>
        </w:tc>
      </w:tr>
      <w:tr>
        <w:trPr>
          <w:trHeight w:val="291" w:hRule="atLeast"/>
        </w:trPr>
        <w:tc>
          <w:tcPr>
            <w:tcW w:w="6970" w:type="dxa"/>
            <w:tcBorders/>
            <w:shd w:color="auto" w:fill="auto" w:val="clear"/>
            <w:vAlign w:val="center"/>
          </w:tcPr>
          <w:p>
            <w:pPr>
              <w:pStyle w:val="ListParagraph"/>
              <w:spacing w:lineRule="auto" w:line="240" w:before="0" w:after="0"/>
              <w:ind w:left="0" w:right="0" w:hanging="0"/>
              <w:contextualSpacing/>
              <w:jc w:val="left"/>
              <w:rPr>
                <w:rFonts w:ascii="Times New Roman" w:hAnsi="Times New Roman"/>
                <w:i/>
                <w:i/>
                <w:iCs/>
                <w:sz w:val="20"/>
                <w:szCs w:val="20"/>
              </w:rPr>
            </w:pPr>
            <w:r>
              <w:rPr>
                <w:rFonts w:ascii="Times New Roman" w:hAnsi="Times New Roman"/>
                <w:i/>
                <w:iCs/>
                <w:sz w:val="20"/>
                <w:szCs w:val="20"/>
                <w:lang w:val="en-US"/>
              </w:rPr>
              <w:t>Market integration</w:t>
            </w:r>
          </w:p>
        </w:tc>
        <w:tc>
          <w:tcPr>
            <w:tcW w:w="7032" w:type="dxa"/>
            <w:tcBorders/>
            <w:shd w:color="auto" w:fill="auto" w:val="clear"/>
            <w:vAlign w:val="center"/>
          </w:tcPr>
          <w:p>
            <w:pPr>
              <w:pStyle w:val="ListParagraph"/>
              <w:spacing w:lineRule="auto" w:line="240" w:before="0" w:after="0"/>
              <w:ind w:left="0" w:right="0" w:hanging="0"/>
              <w:contextualSpacing/>
              <w:jc w:val="left"/>
              <w:rPr>
                <w:rFonts w:ascii="Times New Roman" w:hAnsi="Times New Roman"/>
                <w:sz w:val="20"/>
                <w:szCs w:val="20"/>
                <w:lang w:val="en-US"/>
              </w:rPr>
            </w:pPr>
            <w:r>
              <w:rPr>
                <w:rFonts w:ascii="Times New Roman" w:hAnsi="Times New Roman"/>
                <w:sz w:val="20"/>
                <w:szCs w:val="20"/>
                <w:lang w:val="en-US"/>
              </w:rPr>
            </w:r>
          </w:p>
        </w:tc>
      </w:tr>
      <w:tr>
        <w:trPr>
          <w:trHeight w:val="2066" w:hRule="atLeast"/>
        </w:trPr>
        <w:tc>
          <w:tcPr>
            <w:tcW w:w="6970" w:type="dxa"/>
            <w:tcBorders/>
            <w:shd w:color="auto" w:fill="auto" w:val="clear"/>
            <w:vAlign w:val="center"/>
          </w:tcPr>
          <w:p>
            <w:pPr>
              <w:pStyle w:val="ListParagraph"/>
              <w:spacing w:lineRule="auto" w:line="240" w:before="0" w:after="0"/>
              <w:ind w:left="0" w:right="0" w:hanging="0"/>
              <w:contextualSpacing/>
              <w:jc w:val="left"/>
              <w:rPr>
                <w:lang w:val="en-US"/>
              </w:rPr>
            </w:pPr>
            <w:r>
              <w:rPr>
                <w:rFonts w:eastAsia="Times New Roman" w:cs="Times New Roman" w:ascii="Times New Roman" w:hAnsi="Times New Roman"/>
                <w:sz w:val="20"/>
                <w:szCs w:val="20"/>
                <w:lang w:val="en-US" w:eastAsia="de-DE"/>
              </w:rPr>
              <w:t>Cooperative can facilitate better commercialization conditions by:</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negotiating with buyers better prices by pooling members' coffee harvest</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networking with other cooperatives to pool coffee harvest and seek larger contractual arrangements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color w:val="000000"/>
                <w:sz w:val="20"/>
                <w:szCs w:val="20"/>
                <w:lang w:val="en-US" w:eastAsia="de-DE"/>
              </w:rPr>
              <w:t>seeking connections with Fair Trade, organic and advocacy networks</w:t>
            </w:r>
          </w:p>
        </w:tc>
        <w:tc>
          <w:tcPr>
            <w:tcW w:w="7032" w:type="dxa"/>
            <w:tcBorders/>
            <w:shd w:color="auto" w:fill="auto" w:val="clear"/>
            <w:vAlign w:val="center"/>
          </w:tcPr>
          <w:p>
            <w:pPr>
              <w:pStyle w:val="ListParagraph"/>
              <w:spacing w:lineRule="auto" w:line="240" w:before="0" w:after="0"/>
              <w:ind w:left="0" w:right="0" w:hanging="0"/>
              <w:contextualSpacing/>
              <w:jc w:val="left"/>
              <w:rPr>
                <w:lang w:val="en-US"/>
              </w:rPr>
            </w:pPr>
            <w:r>
              <w:rPr>
                <w:rFonts w:eastAsia="Times New Roman" w:cs="Times New Roman" w:ascii="Times New Roman" w:hAnsi="Times New Roman"/>
                <w:sz w:val="20"/>
                <w:szCs w:val="20"/>
                <w:lang w:val="en-US" w:eastAsia="de-DE"/>
              </w:rPr>
              <w:t>Difficulties in establishing collective contractual arrangements imply delays in the payment of pre-financing and harvest.</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The fulfillment of sale contracts may force cooperatives to compete with other buyers for local coffee at higher prices than those negotiated within the cooperative.</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The integration in the export (conventional / Fair Trade / organic) market requires substantial resources, which are co-funded by all producers.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If, despite certification, the cooperative does not manage to sell its coffee in Fair Trade / organic markets, producers receive only marginal gains against investments</w:t>
            </w:r>
          </w:p>
        </w:tc>
      </w:tr>
      <w:tr>
        <w:trPr>
          <w:trHeight w:val="341" w:hRule="atLeast"/>
        </w:trPr>
        <w:tc>
          <w:tcPr>
            <w:tcW w:w="6970" w:type="dxa"/>
            <w:tcBorders/>
            <w:shd w:color="auto" w:fill="auto" w:val="clear"/>
            <w:vAlign w:val="center"/>
          </w:tcPr>
          <w:p>
            <w:pPr>
              <w:pStyle w:val="ListParagraph"/>
              <w:spacing w:lineRule="auto" w:line="240" w:before="0" w:after="0"/>
              <w:ind w:left="0" w:right="0" w:hanging="0"/>
              <w:contextualSpacing/>
              <w:jc w:val="left"/>
              <w:rPr>
                <w:rFonts w:ascii="Times New Roman" w:hAnsi="Times New Roman"/>
                <w:i/>
                <w:i/>
                <w:iCs/>
                <w:sz w:val="20"/>
                <w:szCs w:val="20"/>
              </w:rPr>
            </w:pPr>
            <w:r>
              <w:rPr>
                <w:rFonts w:ascii="Times New Roman" w:hAnsi="Times New Roman"/>
                <w:i/>
                <w:iCs/>
                <w:sz w:val="20"/>
                <w:szCs w:val="20"/>
                <w:lang w:val="en-US"/>
              </w:rPr>
              <w:t>Management and decision making</w:t>
            </w:r>
          </w:p>
        </w:tc>
        <w:tc>
          <w:tcPr>
            <w:tcW w:w="7032" w:type="dxa"/>
            <w:tcBorders/>
            <w:shd w:color="auto" w:fill="auto" w:val="clear"/>
            <w:vAlign w:val="center"/>
          </w:tcPr>
          <w:p>
            <w:pPr>
              <w:pStyle w:val="Normal"/>
              <w:spacing w:lineRule="auto" w:line="240" w:before="0" w:after="0"/>
              <w:ind w:left="0" w:right="0" w:hanging="0"/>
              <w:jc w:val="left"/>
              <w:rPr>
                <w:rFonts w:eastAsia="Times New Roman" w:cs="Times New Roman"/>
                <w:color w:val="000000"/>
                <w:lang w:val="en-US" w:eastAsia="de-DE"/>
              </w:rPr>
            </w:pPr>
            <w:r>
              <w:rPr>
                <w:rFonts w:eastAsia="Times New Roman" w:cs="Times New Roman"/>
                <w:color w:val="000000"/>
                <w:lang w:val="en-US" w:eastAsia="de-DE"/>
              </w:rPr>
            </w:r>
          </w:p>
        </w:tc>
      </w:tr>
      <w:tr>
        <w:trPr>
          <w:trHeight w:val="300" w:hRule="atLeast"/>
        </w:trPr>
        <w:tc>
          <w:tcPr>
            <w:tcW w:w="6970" w:type="dxa"/>
            <w:tcBorders/>
            <w:shd w:color="auto" w:fill="auto" w:val="clear"/>
            <w:vAlign w:val="center"/>
          </w:tcPr>
          <w:p>
            <w:pPr>
              <w:pStyle w:val="ListParagraph"/>
              <w:spacing w:lineRule="auto" w:line="240" w:before="0" w:after="0"/>
              <w:ind w:left="0" w:right="0" w:hanging="0"/>
              <w:contextualSpacing/>
              <w:jc w:val="left"/>
              <w:rPr>
                <w:lang w:val="en-US"/>
              </w:rPr>
            </w:pPr>
            <w:r>
              <w:rPr>
                <w:rFonts w:eastAsia="Times New Roman" w:cs="Times New Roman" w:ascii="Times New Roman" w:hAnsi="Times New Roman"/>
                <w:sz w:val="20"/>
                <w:szCs w:val="20"/>
                <w:lang w:val="en-US" w:eastAsia="de-DE"/>
              </w:rPr>
              <w:t>Cooperative members can:</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receive information on cooperative management issues (e.g. budget, production status, international prices)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take part in strategic cooperative management decisions (e.g. level of pre-financing, price at which the coffee is bought internally, decisions on investments)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b w:val="false"/>
                <w:bCs w:val="false"/>
                <w:color w:val="000000"/>
                <w:sz w:val="20"/>
                <w:szCs w:val="20"/>
                <w:lang w:val="en-US" w:eastAsia="de-DE"/>
              </w:rPr>
              <w:t>become part of the management team (which rotates among members)</w:t>
            </w:r>
          </w:p>
        </w:tc>
        <w:tc>
          <w:tcPr>
            <w:tcW w:w="7032" w:type="dxa"/>
            <w:tcBorders/>
            <w:shd w:color="auto" w:fill="auto" w:val="clear"/>
            <w:vAlign w:val="center"/>
          </w:tcPr>
          <w:p>
            <w:pPr>
              <w:pStyle w:val="ListParagraph"/>
              <w:spacing w:lineRule="auto" w:line="240" w:before="0" w:after="0"/>
              <w:ind w:left="0" w:right="0" w:hanging="0"/>
              <w:contextualSpacing/>
              <w:jc w:val="left"/>
              <w:rPr>
                <w:lang w:val="en-US"/>
              </w:rPr>
            </w:pPr>
            <w:r>
              <w:rPr>
                <w:rFonts w:eastAsia="Times New Roman" w:cs="Times New Roman" w:ascii="Times New Roman" w:hAnsi="Times New Roman"/>
                <w:sz w:val="20"/>
                <w:szCs w:val="20"/>
                <w:lang w:val="en-US" w:eastAsia="de-DE"/>
              </w:rPr>
              <w:t>Cooperative management:</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restrict individual strategies (e.g. commitment to sell coffee harvest to the cooperative can prevent producers to sell at higher prices to private intermediaries)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require attendance to assemblies and meetings (which demand resources and time)</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can lead to dependence on technical advisers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Poor management can result in:</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lack of transparency in cooperative decisions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top-down decisions (e.g. through malfunctioning participation mechanisms)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misuse of cooperative resources</w:t>
            </w:r>
            <w:r>
              <w:rPr>
                <w:rFonts w:eastAsia="+mn-ea" w:cs="Times New Roman" w:ascii="Times New Roman" w:hAnsi="Times New Roman"/>
                <w:b/>
                <w:bCs/>
                <w:color w:val="000000"/>
                <w:sz w:val="24"/>
                <w:szCs w:val="24"/>
                <w:lang w:val="en-US" w:eastAsia="de-DE"/>
              </w:rPr>
              <w:br/>
            </w:r>
            <w:r>
              <w:rPr>
                <w:rFonts w:eastAsia="Times New Roman" w:cs="Times New Roman" w:ascii="Times New Roman" w:hAnsi="Times New Roman"/>
                <w:sz w:val="20"/>
                <w:szCs w:val="20"/>
                <w:lang w:val="en-US" w:eastAsia="de-DE"/>
              </w:rPr>
              <w:t>distrust and disloyalty</w:t>
            </w:r>
          </w:p>
        </w:tc>
      </w:tr>
      <w:tr>
        <w:trPr>
          <w:trHeight w:val="300" w:hRule="atLeast"/>
        </w:trPr>
        <w:tc>
          <w:tcPr>
            <w:tcW w:w="14002" w:type="dxa"/>
            <w:gridSpan w:val="2"/>
            <w:tcBorders/>
            <w:shd w:color="auto" w:fill="auto" w:val="clear"/>
            <w:vAlign w:val="center"/>
          </w:tcPr>
          <w:p>
            <w:pPr>
              <w:pStyle w:val="Normal"/>
              <w:spacing w:lineRule="auto" w:line="240" w:before="120" w:after="120"/>
              <w:ind w:left="0" w:right="0" w:hanging="0"/>
              <w:jc w:val="left"/>
              <w:rPr>
                <w:sz w:val="20"/>
                <w:szCs w:val="20"/>
              </w:rPr>
            </w:pPr>
            <w:bookmarkStart w:id="2" w:name="__DdeLink__15096_43474188"/>
            <w:bookmarkEnd w:id="2"/>
            <w:r>
              <w:rPr>
                <w:rFonts w:cs="Times New Roman" w:ascii="Times New Roman" w:hAnsi="Times New Roman"/>
                <w:i w:val="false"/>
                <w:iCs w:val="false"/>
                <w:sz w:val="20"/>
                <w:szCs w:val="20"/>
                <w:vertAlign w:val="superscript"/>
                <w:lang w:val="en-US"/>
              </w:rPr>
              <w:t xml:space="preserve">1: </w:t>
            </w:r>
            <w:r>
              <w:rPr>
                <w:rFonts w:cs="Times New Roman" w:ascii="Times New Roman" w:hAnsi="Times New Roman"/>
                <w:sz w:val="20"/>
                <w:szCs w:val="20"/>
                <w:lang w:val="en-US"/>
              </w:rPr>
              <w:t>Table S3 is based on the analysis of the coded interview transcripts. It synthesizes the information on benefits and opportunities of cooperative membership, as well as constrains and risk, as perceived by cooperative members, representatives and advisers of the cooperative mentioned in the text, but also from independent producers, who either wish to enter cooperative or on the contrary left.</w:t>
            </w:r>
          </w:p>
        </w:tc>
      </w:tr>
    </w:tbl>
    <w:p>
      <w:pPr>
        <w:pStyle w:val="Normal"/>
        <w:rPr>
          <w:lang w:val="en-US"/>
        </w:rPr>
      </w:pPr>
      <w:r>
        <w:rPr>
          <w:lang w:val="en-US"/>
        </w:rPr>
      </w:r>
    </w:p>
    <w:p>
      <w:pPr>
        <w:pStyle w:val="Normal"/>
        <w:spacing w:before="0" w:after="200"/>
        <w:rPr>
          <w:lang w:val="en-US"/>
        </w:rPr>
      </w:pPr>
      <w:r>
        <w:rPr>
          <w:lang w:val="en-US"/>
        </w:rPr>
      </w:r>
    </w:p>
    <w:sectPr>
      <w:type w:val="nextPage"/>
      <w:pgSz w:orient="landscape" w:w="16838" w:h="11906"/>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ucida Grande">
    <w:charset w:val="01"/>
    <w:family w:val="swiss"/>
    <w:pitch w:val="default"/>
  </w:font>
  <w:font w:name="OpenSymbol">
    <w:altName w:val="Arial Unicode MS"/>
    <w:charset w:val="01"/>
    <w:family w:val="swiss"/>
    <w:pitch w:val="default"/>
  </w:font>
  <w:font w:name="Times New Roman">
    <w:charset w:val="01"/>
    <w:family w:val="swiss"/>
    <w:pitch w:val="default"/>
  </w:font>
  <w:font w:name="OpenSymbol">
    <w:altName w:val="Arial Unicode MS"/>
    <w:charset w:val="02"/>
    <w:family w:val="auto"/>
    <w:pitch w:val="default"/>
  </w:font>
  <w:font w:name="Frutiger Linotype">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Cs w:val="22"/>
        <w:lang w:val="en-US" w:eastAsia="es-MX"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6014"/>
    <w:pPr>
      <w:widowControl/>
      <w:bidi w:val="0"/>
      <w:spacing w:lineRule="auto" w:line="276" w:before="0" w:after="200"/>
      <w:jc w:val="left"/>
    </w:pPr>
    <w:rPr>
      <w:rFonts w:ascii="Calibri" w:hAnsi="Calibri" w:eastAsia="ＭＳ 明朝" w:cs="" w:asciiTheme="minorHAnsi" w:cstheme="minorBidi" w:eastAsiaTheme="minorEastAsia" w:hAnsiTheme="minorHAnsi"/>
      <w:color w:val="00000A"/>
      <w:sz w:val="22"/>
      <w:szCs w:val="22"/>
      <w:lang w:eastAsia="es-MX" w:bidi="ar-SA" w:val="en-US"/>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a4b72"/>
    <w:rPr>
      <w:sz w:val="18"/>
      <w:szCs w:val="18"/>
    </w:rPr>
  </w:style>
  <w:style w:type="character" w:styleId="CommentTextChar" w:customStyle="1">
    <w:name w:val="Comment Text Char"/>
    <w:basedOn w:val="DefaultParagraphFont"/>
    <w:link w:val="CommentText"/>
    <w:uiPriority w:val="99"/>
    <w:semiHidden/>
    <w:qFormat/>
    <w:rsid w:val="008a4b72"/>
    <w:rPr>
      <w:sz w:val="24"/>
      <w:szCs w:val="24"/>
    </w:rPr>
  </w:style>
  <w:style w:type="character" w:styleId="CommentSubjectChar" w:customStyle="1">
    <w:name w:val="Comment Subject Char"/>
    <w:basedOn w:val="CommentTextChar"/>
    <w:link w:val="CommentSubject"/>
    <w:uiPriority w:val="99"/>
    <w:semiHidden/>
    <w:qFormat/>
    <w:rsid w:val="008a4b72"/>
    <w:rPr>
      <w:b/>
      <w:bCs/>
      <w:sz w:val="20"/>
      <w:szCs w:val="20"/>
    </w:rPr>
  </w:style>
  <w:style w:type="character" w:styleId="BalloonTextChar" w:customStyle="1">
    <w:name w:val="Balloon Text Char"/>
    <w:basedOn w:val="DefaultParagraphFont"/>
    <w:link w:val="BalloonText"/>
    <w:uiPriority w:val="99"/>
    <w:semiHidden/>
    <w:qFormat/>
    <w:rsid w:val="008a4b72"/>
    <w:rPr>
      <w:rFonts w:ascii="Lucida Grande" w:hAnsi="Lucida Grande" w:cs="Lucida Grande"/>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Aufzhlungszeichen">
    <w:name w:val="Aufzählungszeichen"/>
    <w:qFormat/>
    <w:rPr>
      <w:rFonts w:ascii="OpenSymbol" w:hAnsi="OpenSymbol" w:eastAsia="OpenSymbol" w:cs="OpenSymbol"/>
    </w:rPr>
  </w:style>
  <w:style w:type="character" w:styleId="ListLabel40">
    <w:name w:val="ListLabel 40"/>
    <w:qFormat/>
    <w:rPr>
      <w:rFonts w:ascii="Times New Roman" w:hAnsi="Times New Roman" w:cs="Symbol"/>
      <w:b w:val="false"/>
      <w:sz w:val="20"/>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ascii="Times New Roman" w:hAnsi="Times New Roman" w:cs="Symbol"/>
      <w:b w:val="false"/>
      <w:sz w:val="20"/>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Frutiger Linotype" w:hAnsi="Frutiger Linotype" w:eastAsia="Noto Sans CJK SC Regular" w:cs="FreeSans"/>
      <w:sz w:val="22"/>
      <w:szCs w:val="28"/>
    </w:rPr>
  </w:style>
  <w:style w:type="paragraph" w:styleId="TextBody">
    <w:name w:val="Body Text"/>
    <w:basedOn w:val="Normal"/>
    <w:pPr>
      <w:spacing w:lineRule="auto" w:line="288" w:before="0" w:after="140"/>
    </w:pPr>
    <w:rPr/>
  </w:style>
  <w:style w:type="paragraph" w:styleId="List">
    <w:name w:val="List"/>
    <w:basedOn w:val="TextBody"/>
    <w:pPr/>
    <w:rPr>
      <w:rFonts w:ascii="Frutiger Linotype" w:hAnsi="Frutiger Linotype" w:cs="FreeSans"/>
    </w:rPr>
  </w:style>
  <w:style w:type="paragraph" w:styleId="Caption">
    <w:name w:val="Caption"/>
    <w:basedOn w:val="Normal"/>
    <w:qFormat/>
    <w:pPr>
      <w:suppressLineNumbers/>
      <w:spacing w:before="120" w:after="120"/>
    </w:pPr>
    <w:rPr>
      <w:rFonts w:ascii="Frutiger Linotype" w:hAnsi="Frutiger Linotype" w:cs="FreeSans"/>
      <w:i/>
      <w:iCs/>
      <w:sz w:val="22"/>
      <w:szCs w:val="24"/>
    </w:rPr>
  </w:style>
  <w:style w:type="paragraph" w:styleId="Index">
    <w:name w:val="Index"/>
    <w:basedOn w:val="Normal"/>
    <w:qFormat/>
    <w:pPr>
      <w:suppressLineNumbers/>
    </w:pPr>
    <w:rPr>
      <w:rFonts w:ascii="Frutiger Linotype" w:hAnsi="Frutiger Linotype" w:cs="FreeSans"/>
    </w:rPr>
  </w:style>
  <w:style w:type="paragraph" w:styleId="Berschrift">
    <w:name w:val="Überschrift"/>
    <w:basedOn w:val="Normal"/>
    <w:qFormat/>
    <w:pPr>
      <w:keepNext/>
      <w:spacing w:before="240" w:after="120"/>
    </w:pPr>
    <w:rPr>
      <w:rFonts w:ascii="Frutiger Linotype" w:hAnsi="Frutiger Linotype" w:eastAsia="Noto Sans CJK SC Regular" w:cs="FreeSans"/>
      <w:sz w:val="22"/>
      <w:szCs w:val="28"/>
    </w:rPr>
  </w:style>
  <w:style w:type="paragraph" w:styleId="Verzeichnis">
    <w:name w:val="Verzeichnis"/>
    <w:basedOn w:val="Normal"/>
    <w:qFormat/>
    <w:pPr>
      <w:suppressLineNumbers/>
    </w:pPr>
    <w:rPr>
      <w:rFonts w:ascii="Frutiger Linotype" w:hAnsi="Frutiger Linotype" w:cs="FreeSans"/>
    </w:rPr>
  </w:style>
  <w:style w:type="paragraph" w:styleId="ListParagraph">
    <w:name w:val="List Paragraph"/>
    <w:basedOn w:val="Normal"/>
    <w:uiPriority w:val="34"/>
    <w:qFormat/>
    <w:rsid w:val="004462c9"/>
    <w:pPr>
      <w:spacing w:before="0" w:after="200"/>
      <w:ind w:left="720" w:hanging="0"/>
      <w:contextualSpacing/>
    </w:pPr>
    <w:rPr/>
  </w:style>
  <w:style w:type="paragraph" w:styleId="TabellenInhalt" w:customStyle="1">
    <w:name w:val="Tabellen Inhalt"/>
    <w:basedOn w:val="Normal"/>
    <w:qFormat/>
    <w:rsid w:val="004462c9"/>
    <w:pPr>
      <w:widowControl w:val="false"/>
      <w:suppressLineNumbers/>
      <w:suppressAutoHyphens w:val="true"/>
      <w:spacing w:lineRule="auto" w:line="240" w:before="0" w:after="0"/>
    </w:pPr>
    <w:rPr>
      <w:rFonts w:ascii="Times New Roman" w:hAnsi="Times New Roman" w:eastAsia="SimSun" w:cs="Mangal"/>
      <w:sz w:val="24"/>
      <w:szCs w:val="24"/>
      <w:lang w:eastAsia="hi-IN" w:bidi="hi-IN"/>
    </w:rPr>
  </w:style>
  <w:style w:type="paragraph" w:styleId="Annotationtext">
    <w:name w:val="annotation text"/>
    <w:basedOn w:val="Normal"/>
    <w:link w:val="CommentTextChar"/>
    <w:uiPriority w:val="99"/>
    <w:semiHidden/>
    <w:unhideWhenUsed/>
    <w:qFormat/>
    <w:rsid w:val="008a4b72"/>
    <w:pPr>
      <w:spacing w:lineRule="auto" w:line="240"/>
    </w:pPr>
    <w:rPr>
      <w:sz w:val="24"/>
      <w:szCs w:val="24"/>
    </w:rPr>
  </w:style>
  <w:style w:type="paragraph" w:styleId="Annotationsubject">
    <w:name w:val="annotation subject"/>
    <w:basedOn w:val="Annotationtext"/>
    <w:link w:val="CommentSubjectChar"/>
    <w:uiPriority w:val="99"/>
    <w:semiHidden/>
    <w:unhideWhenUsed/>
    <w:qFormat/>
    <w:rsid w:val="008a4b72"/>
    <w:pPr/>
    <w:rPr>
      <w:b/>
      <w:bCs/>
      <w:sz w:val="20"/>
      <w:szCs w:val="20"/>
    </w:rPr>
  </w:style>
  <w:style w:type="paragraph" w:styleId="BalloonText">
    <w:name w:val="Balloon Text"/>
    <w:basedOn w:val="Normal"/>
    <w:link w:val="BalloonTextChar"/>
    <w:uiPriority w:val="99"/>
    <w:semiHidden/>
    <w:unhideWhenUsed/>
    <w:qFormat/>
    <w:rsid w:val="008a4b72"/>
    <w:pPr>
      <w:spacing w:lineRule="auto" w:line="240" w:before="0" w:after="0"/>
    </w:pPr>
    <w:rPr>
      <w:rFonts w:ascii="Lucida Grande" w:hAnsi="Lucida Grande" w:cs="Lucida Grande"/>
      <w:sz w:val="18"/>
      <w:szCs w:val="18"/>
    </w:rPr>
  </w:style>
  <w:style w:type="paragraph" w:styleId="Tabellenberschrift">
    <w:name w:val="Tabellen Überschrift"/>
    <w:basedOn w:val="TabellenInhalt"/>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462c9"/>
    <w:pPr>
      <w:spacing w:after="0" w:line="240" w:lineRule="auto"/>
    </w:pPr>
    <w:rPr>
      <w:lang w:eastAsia="de-DE"/>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LibreOffice/5.1.4.2$Linux_X86_64 LibreOffice_project/10m0$Build-2</Application>
  <Pages>2</Pages>
  <Words>492</Words>
  <Characters>3186</Characters>
  <CharactersWithSpaces>3664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2016-08-16T03:03:00Z</dcterms:created>
  <dc:creator/>
  <dc:description/>
  <dc:language>de-DE</dc:language>
  <cp:lastModifiedBy>Cristina Vega</cp:lastModifiedBy>
  <cp:lastPrinted>2016-03-11T14:36:00Z</cp:lastPrinted>
  <dcterms:modified xsi:type="dcterms:W3CDTF">2016-09-20T15:01:56Z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