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FA701" w14:textId="5B43EE55" w:rsidR="007C7D86" w:rsidRDefault="007C7D86" w:rsidP="009707A6">
      <w:pPr>
        <w:rPr>
          <w:rFonts w:ascii="ITC Bookman" w:hAnsi="ITC Bookman" w:cs="Times New Roman"/>
          <w:sz w:val="32"/>
          <w:szCs w:val="32"/>
        </w:rPr>
      </w:pPr>
      <w:r w:rsidRPr="007C7D86">
        <w:rPr>
          <w:rFonts w:ascii="ITC Bookman" w:hAnsi="ITC Bookman" w:cs="Times New Roman"/>
          <w:sz w:val="32"/>
          <w:szCs w:val="32"/>
        </w:rPr>
        <w:t>Supplementa</w:t>
      </w:r>
      <w:r>
        <w:rPr>
          <w:rFonts w:ascii="ITC Bookman" w:hAnsi="ITC Bookman" w:cs="Times New Roman"/>
          <w:sz w:val="32"/>
          <w:szCs w:val="32"/>
        </w:rPr>
        <w:t>l Materials</w:t>
      </w:r>
    </w:p>
    <w:p w14:paraId="5EEECFF0" w14:textId="21A3C21E" w:rsidR="0067276B" w:rsidRDefault="0067276B" w:rsidP="009707A6">
      <w:pPr>
        <w:rPr>
          <w:rFonts w:ascii="ITC Bookman" w:hAnsi="ITC Bookman" w:cs="Times New Roman"/>
          <w:sz w:val="24"/>
          <w:szCs w:val="24"/>
        </w:rPr>
      </w:pPr>
      <w:r w:rsidRPr="0067276B">
        <w:rPr>
          <w:rFonts w:ascii="ITC Bookman" w:hAnsi="ITC Bookman" w:cs="Times New Roman"/>
          <w:sz w:val="32"/>
          <w:szCs w:val="32"/>
        </w:rPr>
        <w:t>Decadal O</w:t>
      </w:r>
      <w:r w:rsidRPr="0067276B">
        <w:rPr>
          <w:rFonts w:ascii="ITC Bookman" w:hAnsi="ITC Bookman" w:cs="Times New Roman"/>
          <w:sz w:val="32"/>
          <w:szCs w:val="32"/>
          <w:vertAlign w:val="subscript"/>
        </w:rPr>
        <w:t>3</w:t>
      </w:r>
      <w:r w:rsidRPr="0067276B">
        <w:rPr>
          <w:rFonts w:ascii="ITC Bookman" w:hAnsi="ITC Bookman" w:cs="Times New Roman"/>
          <w:sz w:val="32"/>
          <w:szCs w:val="32"/>
        </w:rPr>
        <w:t xml:space="preserve"> variability at the Mt. Cimone WMO/GAW global station (2165 m a.s.l., Italy)</w:t>
      </w:r>
      <w:r w:rsidR="00EB2732">
        <w:rPr>
          <w:rFonts w:ascii="ITC Bookman" w:hAnsi="ITC Bookman" w:cs="Times New Roman"/>
          <w:sz w:val="32"/>
          <w:szCs w:val="32"/>
        </w:rPr>
        <w:t xml:space="preserve"> and</w:t>
      </w:r>
      <w:r w:rsidRPr="0067276B">
        <w:rPr>
          <w:rFonts w:ascii="ITC Bookman" w:hAnsi="ITC Bookman" w:cs="Times New Roman"/>
          <w:sz w:val="32"/>
          <w:szCs w:val="32"/>
        </w:rPr>
        <w:t xml:space="preserve"> comparison with two high-mountain “reference” sites in Europe </w:t>
      </w:r>
    </w:p>
    <w:p w14:paraId="720D5BDF" w14:textId="0AAC00E2" w:rsidR="009707A6" w:rsidRPr="00694326" w:rsidRDefault="009707A6" w:rsidP="009707A6">
      <w:pPr>
        <w:rPr>
          <w:rFonts w:ascii="ITC Bookman" w:hAnsi="ITC Bookman" w:cs="Times New Roman"/>
          <w:sz w:val="24"/>
          <w:szCs w:val="24"/>
          <w:lang w:val="it-IT"/>
        </w:rPr>
      </w:pPr>
      <w:r w:rsidRPr="0067276B">
        <w:rPr>
          <w:rFonts w:ascii="ITC Bookman" w:hAnsi="ITC Bookman" w:cs="Times New Roman"/>
          <w:sz w:val="24"/>
          <w:szCs w:val="24"/>
          <w:lang w:val="it-IT"/>
        </w:rPr>
        <w:t xml:space="preserve">P. 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Cristofanelli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1</w:t>
      </w:r>
      <w:r>
        <w:rPr>
          <w:rFonts w:ascii="ITC Bookman" w:hAnsi="ITC Bookman" w:cs="Times New Roman"/>
          <w:sz w:val="24"/>
          <w:szCs w:val="24"/>
          <w:vertAlign w:val="superscript"/>
          <w:lang w:val="it-IT"/>
        </w:rPr>
        <w:t>,*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, F. Fierli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2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, F. Graziosi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2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, M. Steinbacher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3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 xml:space="preserve">, </w:t>
      </w:r>
      <w:r w:rsidR="00EB4A32">
        <w:rPr>
          <w:rFonts w:ascii="ITC Bookman" w:hAnsi="ITC Bookman" w:cs="Times New Roman"/>
          <w:sz w:val="24"/>
          <w:szCs w:val="24"/>
          <w:lang w:val="it-IT"/>
        </w:rPr>
        <w:t>C. Couret</w:t>
      </w:r>
      <w:r w:rsidR="00EB4A32" w:rsidRPr="00EB4A32">
        <w:rPr>
          <w:rFonts w:ascii="ITC Bookman" w:hAnsi="ITC Bookman" w:cs="Times New Roman"/>
          <w:sz w:val="24"/>
          <w:szCs w:val="24"/>
          <w:vertAlign w:val="superscript"/>
          <w:lang w:val="it-IT"/>
        </w:rPr>
        <w:t>4</w:t>
      </w:r>
      <w:r w:rsidR="00EB4A32">
        <w:rPr>
          <w:rFonts w:ascii="ITC Bookman" w:hAnsi="ITC Bookman" w:cs="Times New Roman"/>
          <w:sz w:val="24"/>
          <w:szCs w:val="24"/>
          <w:lang w:val="it-IT"/>
        </w:rPr>
        <w:t xml:space="preserve">, 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F.Calzolari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1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, F. Roccato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1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, T. Landi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1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, D. Putero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1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>, P. Bonasoni</w:t>
      </w: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1</w:t>
      </w:r>
    </w:p>
    <w:p w14:paraId="058A6B88" w14:textId="77777777" w:rsidR="009707A6" w:rsidRPr="00694326" w:rsidRDefault="009707A6" w:rsidP="009707A6">
      <w:pPr>
        <w:spacing w:after="0"/>
        <w:rPr>
          <w:rFonts w:ascii="ITC Bookman" w:hAnsi="ITC Bookman" w:cs="Times New Roman"/>
          <w:sz w:val="24"/>
          <w:szCs w:val="24"/>
          <w:lang w:val="it-IT"/>
        </w:rPr>
      </w:pP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1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 xml:space="preserve"> CNR-ISAC, Via Gobetti 101, 40129 Bologna (Italy)</w:t>
      </w:r>
    </w:p>
    <w:p w14:paraId="2A4BFB14" w14:textId="77777777" w:rsidR="009707A6" w:rsidRPr="00694326" w:rsidRDefault="009707A6" w:rsidP="009707A6">
      <w:pPr>
        <w:spacing w:after="0"/>
        <w:rPr>
          <w:rFonts w:ascii="ITC Bookman" w:hAnsi="ITC Bookman" w:cs="Times New Roman"/>
          <w:sz w:val="24"/>
          <w:szCs w:val="24"/>
          <w:lang w:val="it-IT"/>
        </w:rPr>
      </w:pPr>
      <w:r w:rsidRPr="00694326">
        <w:rPr>
          <w:rFonts w:ascii="ITC Bookman" w:hAnsi="ITC Bookman" w:cs="Times New Roman"/>
          <w:sz w:val="24"/>
          <w:szCs w:val="24"/>
          <w:vertAlign w:val="superscript"/>
          <w:lang w:val="it-IT"/>
        </w:rPr>
        <w:t>2</w:t>
      </w:r>
      <w:r w:rsidRPr="00694326">
        <w:rPr>
          <w:rFonts w:ascii="ITC Bookman" w:hAnsi="ITC Bookman" w:cs="Times New Roman"/>
          <w:sz w:val="24"/>
          <w:szCs w:val="24"/>
          <w:lang w:val="it-IT"/>
        </w:rPr>
        <w:t xml:space="preserve"> CNR-ISAC, Via Fosso del Cavaliere 101, 40129 Rome (Italy)</w:t>
      </w:r>
    </w:p>
    <w:p w14:paraId="3FEBEA5C" w14:textId="77777777" w:rsidR="009707A6" w:rsidRDefault="009707A6" w:rsidP="009707A6">
      <w:pPr>
        <w:spacing w:after="0"/>
        <w:rPr>
          <w:rFonts w:ascii="ITC Bookman" w:hAnsi="ITC Bookman" w:cs="Times New Roman"/>
          <w:sz w:val="24"/>
          <w:szCs w:val="24"/>
        </w:rPr>
      </w:pPr>
      <w:r w:rsidRPr="00694326">
        <w:rPr>
          <w:rFonts w:ascii="ITC Bookman" w:hAnsi="ITC Bookman" w:cs="Times New Roman"/>
          <w:sz w:val="24"/>
          <w:szCs w:val="24"/>
          <w:vertAlign w:val="superscript"/>
        </w:rPr>
        <w:t>3</w:t>
      </w:r>
      <w:r w:rsidRPr="00694326">
        <w:rPr>
          <w:rFonts w:ascii="ITC Bookman" w:hAnsi="ITC Bookman" w:cs="Times New Roman"/>
          <w:sz w:val="24"/>
          <w:szCs w:val="24"/>
        </w:rPr>
        <w:t xml:space="preserve"> Empa, Ueberlandstrasse 129, 8600 Duebendorf (Switzerland)</w:t>
      </w:r>
    </w:p>
    <w:p w14:paraId="02D9706A" w14:textId="20734037" w:rsidR="00EB4A32" w:rsidRDefault="00EB4A32" w:rsidP="009707A6">
      <w:pPr>
        <w:spacing w:after="0"/>
        <w:rPr>
          <w:rFonts w:ascii="ITC Bookman" w:hAnsi="ITC Bookman" w:cs="Times New Roman"/>
          <w:sz w:val="24"/>
          <w:szCs w:val="24"/>
        </w:rPr>
      </w:pPr>
      <w:r w:rsidRPr="00EB4A32">
        <w:rPr>
          <w:rFonts w:ascii="ITC Bookman" w:hAnsi="ITC Bookman" w:cs="Times New Roman"/>
          <w:sz w:val="24"/>
          <w:szCs w:val="24"/>
          <w:vertAlign w:val="superscript"/>
        </w:rPr>
        <w:t>4</w:t>
      </w:r>
      <w:r w:rsidRPr="00EB4A32">
        <w:rPr>
          <w:rFonts w:ascii="ITC Bookman" w:hAnsi="ITC Bookman" w:cs="Times New Roman"/>
          <w:sz w:val="24"/>
          <w:szCs w:val="24"/>
        </w:rPr>
        <w:t xml:space="preserve"> </w:t>
      </w:r>
      <w:r w:rsidR="00363C3A" w:rsidRPr="00363C3A">
        <w:rPr>
          <w:rFonts w:ascii="ITC Bookman" w:hAnsi="ITC Bookman" w:cs="Times New Roman"/>
          <w:sz w:val="24"/>
          <w:szCs w:val="24"/>
        </w:rPr>
        <w:t>German Environment Agency (UBA), Zugspitze 5, 82475 Zugspitze (Germany)</w:t>
      </w:r>
    </w:p>
    <w:p w14:paraId="588A98D2" w14:textId="77777777" w:rsidR="009707A6" w:rsidRDefault="009707A6" w:rsidP="009707A6">
      <w:pPr>
        <w:spacing w:after="0"/>
        <w:rPr>
          <w:rFonts w:ascii="ITC Bookman" w:hAnsi="ITC Bookman" w:cs="Times New Roman"/>
          <w:sz w:val="24"/>
          <w:szCs w:val="24"/>
        </w:rPr>
      </w:pPr>
    </w:p>
    <w:p w14:paraId="5815A27B" w14:textId="77777777" w:rsidR="009707A6" w:rsidRPr="00694326" w:rsidRDefault="009707A6" w:rsidP="009707A6">
      <w:pPr>
        <w:spacing w:after="0"/>
        <w:rPr>
          <w:rFonts w:ascii="ITC Bookman" w:hAnsi="ITC Bookman" w:cs="Times New Roman"/>
          <w:sz w:val="24"/>
          <w:szCs w:val="24"/>
        </w:rPr>
      </w:pPr>
      <w:r>
        <w:rPr>
          <w:rFonts w:ascii="ITC Bookman" w:hAnsi="ITC Bookman" w:cs="Times New Roman"/>
          <w:sz w:val="24"/>
          <w:szCs w:val="24"/>
        </w:rPr>
        <w:t>*Corresponding author e-mail: p.cristofanelli@isac.cnr.it</w:t>
      </w:r>
    </w:p>
    <w:p w14:paraId="51071BA1" w14:textId="77777777" w:rsidR="009707A6" w:rsidRPr="009707A6" w:rsidRDefault="009707A6" w:rsidP="009707A6">
      <w:pPr>
        <w:spacing w:after="0"/>
        <w:rPr>
          <w:rFonts w:ascii="ITC Bookman" w:hAnsi="ITC Bookman"/>
          <w:sz w:val="24"/>
          <w:szCs w:val="24"/>
        </w:rPr>
      </w:pPr>
    </w:p>
    <w:p w14:paraId="18BBCC41" w14:textId="77777777" w:rsidR="009707A6" w:rsidRPr="009707A6" w:rsidRDefault="009707A6" w:rsidP="009707A6">
      <w:pPr>
        <w:spacing w:after="0"/>
        <w:rPr>
          <w:rFonts w:ascii="ITC Bookman" w:hAnsi="ITC Bookman"/>
          <w:b/>
          <w:sz w:val="24"/>
          <w:szCs w:val="24"/>
        </w:rPr>
      </w:pPr>
      <w:r w:rsidRPr="009707A6">
        <w:rPr>
          <w:rFonts w:ascii="ITC Bookman" w:hAnsi="ITC Bookman"/>
          <w:b/>
          <w:sz w:val="24"/>
          <w:szCs w:val="24"/>
        </w:rPr>
        <w:t>List of Contents:</w:t>
      </w:r>
    </w:p>
    <w:p w14:paraId="77978824" w14:textId="77777777" w:rsidR="009707A6" w:rsidRPr="009707A6" w:rsidRDefault="009707A6" w:rsidP="009707A6">
      <w:pPr>
        <w:spacing w:after="0"/>
        <w:rPr>
          <w:rFonts w:ascii="ITC Bookman" w:hAnsi="ITC Bookman"/>
          <w:sz w:val="24"/>
          <w:szCs w:val="24"/>
        </w:rPr>
      </w:pPr>
    </w:p>
    <w:p w14:paraId="36E28244" w14:textId="2885BB5F" w:rsidR="00D611B1" w:rsidRDefault="00D611B1" w:rsidP="005C53E0">
      <w:pPr>
        <w:spacing w:after="0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S1. Title.</w:t>
      </w:r>
      <w:r>
        <w:rPr>
          <w:rFonts w:ascii="ITC Bookman" w:hAnsi="ITC Bookman"/>
          <w:sz w:val="20"/>
          <w:szCs w:val="20"/>
        </w:rPr>
        <w:t xml:space="preserve"> Locations of the measurement sites. Red triangle indicates Mt. Cimone (CMN), orange triangle indicates Febbio (FEB), blue triangle indicates Jungfraujoch (JFJ) and green triangle indicates Zugspitze (ZUG/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>).</w:t>
      </w:r>
    </w:p>
    <w:p w14:paraId="60ABAC68" w14:textId="77777777" w:rsidR="00D251CF" w:rsidRDefault="00D251CF" w:rsidP="005C53E0">
      <w:pPr>
        <w:spacing w:after="0"/>
        <w:rPr>
          <w:rFonts w:ascii="ITC Bookman" w:hAnsi="ITC Bookman"/>
          <w:sz w:val="20"/>
          <w:szCs w:val="20"/>
        </w:rPr>
      </w:pPr>
    </w:p>
    <w:p w14:paraId="2D8F1D04" w14:textId="0ADB5DB3" w:rsidR="00D611B1" w:rsidRDefault="00D611B1" w:rsidP="005C53E0">
      <w:pPr>
        <w:spacing w:after="0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2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Comparison of O</w:t>
      </w:r>
      <w:r w:rsidRPr="00176FD5">
        <w:rPr>
          <w:rFonts w:ascii="ITC Bookman" w:hAnsi="ITC Bookman"/>
          <w:sz w:val="20"/>
          <w:szCs w:val="20"/>
          <w:vertAlign w:val="subscript"/>
        </w:rPr>
        <w:t>3</w:t>
      </w:r>
      <w:r>
        <w:rPr>
          <w:rFonts w:ascii="ITC Bookman" w:hAnsi="ITC Bookman"/>
          <w:sz w:val="20"/>
          <w:szCs w:val="20"/>
        </w:rPr>
        <w:t xml:space="preserve"> monthly mean values at 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 xml:space="preserve"> and ZUG for the period 2002 – 2010.Red (cyan) plot denotes 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 xml:space="preserve"> (ZUG) observations. The vertical bars indicate the 95</w:t>
      </w:r>
      <w:r w:rsidRPr="00176FD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confidence level.</w:t>
      </w:r>
    </w:p>
    <w:p w14:paraId="35B1E95D" w14:textId="77777777" w:rsidR="00D251CF" w:rsidRDefault="00D251CF" w:rsidP="005C53E0">
      <w:pPr>
        <w:spacing w:after="0"/>
        <w:rPr>
          <w:rFonts w:ascii="ITC Bookman" w:hAnsi="ITC Bookman"/>
          <w:sz w:val="20"/>
          <w:szCs w:val="20"/>
        </w:rPr>
      </w:pPr>
    </w:p>
    <w:p w14:paraId="7B1945DA" w14:textId="5C0B10F7" w:rsidR="00D611B1" w:rsidRDefault="00D611B1" w:rsidP="005C53E0">
      <w:pPr>
        <w:spacing w:after="0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3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Spatial distribution of the air-quality stations included in the AirBase dataset.</w:t>
      </w:r>
      <w:r w:rsidR="00D251CF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Red points indicates stations in the NI region, purple in the WE region, green in the CWE region, orange in the CEE region and cyan in the MED region.</w:t>
      </w:r>
    </w:p>
    <w:p w14:paraId="43BCF637" w14:textId="77777777" w:rsidR="00D251CF" w:rsidRPr="009F3340" w:rsidRDefault="00D251CF" w:rsidP="005C53E0">
      <w:pPr>
        <w:spacing w:after="0"/>
        <w:rPr>
          <w:rFonts w:ascii="ITC Bookman" w:hAnsi="ITC Bookman"/>
          <w:sz w:val="20"/>
          <w:szCs w:val="20"/>
        </w:rPr>
      </w:pPr>
    </w:p>
    <w:p w14:paraId="09DDBDD3" w14:textId="2BAF5786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4</w:t>
      </w:r>
      <w:r w:rsidRPr="0072396B">
        <w:rPr>
          <w:rFonts w:ascii="ITC Bookman" w:hAnsi="ITC Bookman"/>
          <w:b/>
          <w:sz w:val="20"/>
          <w:szCs w:val="20"/>
        </w:rPr>
        <w:t>.</w:t>
      </w:r>
      <w:r>
        <w:rPr>
          <w:rFonts w:ascii="ITC Bookman" w:hAnsi="ITC Bookman"/>
          <w:b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Not Robust STL decomposition for CMN.</w:t>
      </w:r>
      <w:r w:rsidR="00D251CF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T</w:t>
      </w:r>
      <w:r w:rsidRPr="0072396B">
        <w:rPr>
          <w:rFonts w:ascii="ITC Bookman" w:hAnsi="ITC Bookman"/>
          <w:sz w:val="20"/>
          <w:szCs w:val="20"/>
        </w:rPr>
        <w:t>ime-series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CMN</w:t>
      </w:r>
      <w:r w:rsidRPr="0072396B">
        <w:rPr>
          <w:rFonts w:ascii="ITC Bookman" w:hAnsi="ITC Bookman"/>
          <w:sz w:val="20"/>
          <w:szCs w:val="20"/>
        </w:rPr>
        <w:t>. STL has been run by replacing the seasonal smoothing by taking the mean seasonal cycle (left) and by setting the seasonal smoothing parameter t</w:t>
      </w:r>
      <w:r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=</w:t>
      </w:r>
      <w:r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7 (</w:t>
      </w:r>
      <w:r>
        <w:rPr>
          <w:rFonts w:ascii="ITC Bookman" w:hAnsi="ITC Bookman"/>
          <w:sz w:val="20"/>
          <w:szCs w:val="20"/>
        </w:rPr>
        <w:t>right</w:t>
      </w:r>
      <w:r w:rsidRPr="0072396B">
        <w:rPr>
          <w:rFonts w:ascii="ITC Bookman" w:hAnsi="ITC Bookman"/>
          <w:sz w:val="20"/>
          <w:szCs w:val="20"/>
        </w:rPr>
        <w:t xml:space="preserve">). </w:t>
      </w:r>
    </w:p>
    <w:p w14:paraId="3BEFFA38" w14:textId="77777777" w:rsidR="00D251CF" w:rsidRPr="0072396B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06A63F65" w14:textId="2A263754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5</w:t>
      </w:r>
      <w:r w:rsidRPr="0072396B">
        <w:rPr>
          <w:rFonts w:ascii="ITC Bookman" w:hAnsi="ITC Bookman"/>
          <w:b/>
          <w:sz w:val="20"/>
          <w:szCs w:val="20"/>
        </w:rPr>
        <w:t>.</w:t>
      </w:r>
      <w:r>
        <w:rPr>
          <w:rFonts w:ascii="ITC Bookman" w:hAnsi="ITC Bookman"/>
          <w:b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Robust STL decomposition for CMN.</w:t>
      </w:r>
      <w:r w:rsidR="00D251CF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T</w:t>
      </w:r>
      <w:r w:rsidRPr="0072396B">
        <w:rPr>
          <w:rFonts w:ascii="ITC Bookman" w:hAnsi="ITC Bookman"/>
          <w:sz w:val="20"/>
          <w:szCs w:val="20"/>
        </w:rPr>
        <w:t>ime-series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CMN</w:t>
      </w:r>
      <w:r w:rsidRPr="0072396B">
        <w:rPr>
          <w:rFonts w:ascii="ITC Bookman" w:hAnsi="ITC Bookman"/>
          <w:sz w:val="20"/>
          <w:szCs w:val="20"/>
        </w:rPr>
        <w:t xml:space="preserve">. </w:t>
      </w:r>
      <w:r>
        <w:rPr>
          <w:rFonts w:ascii="ITC Bookman" w:hAnsi="ITC Bookman"/>
          <w:sz w:val="20"/>
          <w:szCs w:val="20"/>
        </w:rPr>
        <w:t xml:space="preserve">Robust </w:t>
      </w:r>
      <w:r w:rsidRPr="0072396B">
        <w:rPr>
          <w:rFonts w:ascii="ITC Bookman" w:hAnsi="ITC Bookman"/>
          <w:sz w:val="20"/>
          <w:szCs w:val="20"/>
        </w:rPr>
        <w:t>STL has been run by replacing the seasonal smoothing by taking the mean seasonal cycle (left) and by setting the seasonal smoothing parameter t</w:t>
      </w:r>
      <w:r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=</w:t>
      </w:r>
      <w:r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7 (</w:t>
      </w:r>
      <w:r>
        <w:rPr>
          <w:rFonts w:ascii="ITC Bookman" w:hAnsi="ITC Bookman"/>
          <w:sz w:val="20"/>
          <w:szCs w:val="20"/>
        </w:rPr>
        <w:t>right</w:t>
      </w:r>
      <w:r w:rsidRPr="0072396B">
        <w:rPr>
          <w:rFonts w:ascii="ITC Bookman" w:hAnsi="ITC Bookman"/>
          <w:sz w:val="20"/>
          <w:szCs w:val="20"/>
        </w:rPr>
        <w:t xml:space="preserve">). </w:t>
      </w:r>
      <w:r>
        <w:rPr>
          <w:rFonts w:ascii="ITC Bookman" w:hAnsi="ITC Bookman"/>
          <w:sz w:val="20"/>
          <w:szCs w:val="20"/>
        </w:rPr>
        <w:t>The red crosses denotes points identified as “outliers”.</w:t>
      </w:r>
    </w:p>
    <w:p w14:paraId="40EE5376" w14:textId="77777777" w:rsidR="00D251CF" w:rsidRPr="0072396B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0BE49976" w14:textId="1122B1D7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6</w:t>
      </w:r>
      <w:r w:rsidRPr="0072396B">
        <w:rPr>
          <w:rFonts w:ascii="ITC Bookman" w:hAnsi="ITC Bookman"/>
          <w:b/>
          <w:sz w:val="20"/>
          <w:szCs w:val="20"/>
        </w:rPr>
        <w:t>.</w:t>
      </w:r>
      <w:r>
        <w:rPr>
          <w:rFonts w:ascii="ITC Bookman" w:hAnsi="ITC Bookman"/>
          <w:b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Not robust STL decomposition for JFJ. Time</w:t>
      </w:r>
      <w:r w:rsidRPr="0072396B">
        <w:rPr>
          <w:rFonts w:ascii="ITC Bookman" w:hAnsi="ITC Bookman"/>
          <w:sz w:val="20"/>
          <w:szCs w:val="20"/>
        </w:rPr>
        <w:t>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JFJ</w:t>
      </w:r>
      <w:r w:rsidRPr="0072396B">
        <w:rPr>
          <w:rFonts w:ascii="ITC Bookman" w:hAnsi="ITC Bookman"/>
          <w:sz w:val="20"/>
          <w:szCs w:val="20"/>
        </w:rPr>
        <w:t>. STL has been run by replacing the seasonal smoothing by taking the mean seasonal cycle (left) and by setting the seas</w:t>
      </w:r>
      <w:r>
        <w:rPr>
          <w:rFonts w:ascii="ITC Bookman" w:hAnsi="ITC Bookman"/>
          <w:sz w:val="20"/>
          <w:szCs w:val="20"/>
        </w:rPr>
        <w:t>onal smoothing parameter t = 7 (right</w:t>
      </w:r>
      <w:r w:rsidRPr="0072396B">
        <w:rPr>
          <w:rFonts w:ascii="ITC Bookman" w:hAnsi="ITC Bookman"/>
          <w:sz w:val="20"/>
          <w:szCs w:val="20"/>
        </w:rPr>
        <w:t xml:space="preserve">). </w:t>
      </w:r>
    </w:p>
    <w:p w14:paraId="0BE04250" w14:textId="77777777" w:rsidR="00D251CF" w:rsidRPr="0072396B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39DE9F9E" w14:textId="3A9D27B4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EC4D09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7</w:t>
      </w:r>
      <w:r w:rsidRPr="00EC4D09">
        <w:rPr>
          <w:rFonts w:ascii="ITC Bookman" w:hAnsi="ITC Bookman"/>
          <w:b/>
          <w:sz w:val="20"/>
          <w:szCs w:val="20"/>
        </w:rPr>
        <w:t>.</w:t>
      </w:r>
      <w:r>
        <w:rPr>
          <w:rFonts w:ascii="ITC Bookman" w:hAnsi="ITC Bookman"/>
          <w:b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b/>
          <w:sz w:val="20"/>
          <w:szCs w:val="20"/>
        </w:rPr>
        <w:t>.</w:t>
      </w:r>
      <w:r w:rsidRPr="00EC4D09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Robust STL decomposition for JFJ.</w:t>
      </w:r>
      <w:r w:rsidR="00D251CF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T</w:t>
      </w:r>
      <w:r w:rsidRPr="00EC4D09">
        <w:rPr>
          <w:rFonts w:ascii="ITC Bookman" w:hAnsi="ITC Bookman"/>
          <w:sz w:val="20"/>
          <w:szCs w:val="20"/>
        </w:rPr>
        <w:t>ime-series of monthly O</w:t>
      </w:r>
      <w:r w:rsidRPr="00EC4D09">
        <w:rPr>
          <w:rFonts w:ascii="ITC Bookman" w:hAnsi="ITC Bookman"/>
          <w:sz w:val="20"/>
          <w:szCs w:val="20"/>
          <w:vertAlign w:val="subscript"/>
        </w:rPr>
        <w:t>3</w:t>
      </w:r>
      <w:r w:rsidRPr="00EC4D09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JFJ</w:t>
      </w:r>
      <w:r w:rsidRPr="00EC4D09">
        <w:rPr>
          <w:rFonts w:ascii="ITC Bookman" w:hAnsi="ITC Bookman"/>
          <w:sz w:val="20"/>
          <w:szCs w:val="20"/>
        </w:rPr>
        <w:t xml:space="preserve">. </w:t>
      </w:r>
      <w:r>
        <w:rPr>
          <w:rFonts w:ascii="ITC Bookman" w:hAnsi="ITC Bookman"/>
          <w:sz w:val="20"/>
          <w:szCs w:val="20"/>
        </w:rPr>
        <w:t xml:space="preserve">Robust </w:t>
      </w:r>
      <w:r w:rsidRPr="00EC4D09">
        <w:rPr>
          <w:rFonts w:ascii="ITC Bookman" w:hAnsi="ITC Bookman"/>
          <w:sz w:val="20"/>
          <w:szCs w:val="20"/>
        </w:rPr>
        <w:t>STL has been run by replacing the seasonal smoothing by taking the mean seasonal cycle (left) and by setting the seasonal smoothing parameter t</w:t>
      </w:r>
      <w:r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=</w:t>
      </w:r>
      <w:r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7 (</w:t>
      </w:r>
      <w:r>
        <w:rPr>
          <w:rFonts w:ascii="ITC Bookman" w:hAnsi="ITC Bookman"/>
          <w:sz w:val="20"/>
          <w:szCs w:val="20"/>
        </w:rPr>
        <w:t>right</w:t>
      </w:r>
      <w:r w:rsidRPr="00EC4D09">
        <w:rPr>
          <w:rFonts w:ascii="ITC Bookman" w:hAnsi="ITC Bookman"/>
          <w:sz w:val="20"/>
          <w:szCs w:val="20"/>
        </w:rPr>
        <w:t xml:space="preserve">). </w:t>
      </w:r>
      <w:r>
        <w:rPr>
          <w:rFonts w:ascii="ITC Bookman" w:hAnsi="ITC Bookman"/>
          <w:sz w:val="20"/>
          <w:szCs w:val="20"/>
        </w:rPr>
        <w:t>The red crosses denotes points identified as “outliers”.</w:t>
      </w:r>
    </w:p>
    <w:p w14:paraId="0E2FAFA3" w14:textId="77777777" w:rsidR="00D251CF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4C769BA8" w14:textId="06C8C6B4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8</w:t>
      </w:r>
      <w:r w:rsidRPr="0072396B"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sz w:val="20"/>
          <w:szCs w:val="20"/>
        </w:rPr>
        <w:t xml:space="preserve"> .Not robust STL decomposition for ZUG/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>. Time</w:t>
      </w:r>
      <w:r w:rsidRPr="0072396B">
        <w:rPr>
          <w:rFonts w:ascii="ITC Bookman" w:hAnsi="ITC Bookman"/>
          <w:sz w:val="20"/>
          <w:szCs w:val="20"/>
        </w:rPr>
        <w:t>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JFJ</w:t>
      </w:r>
      <w:r w:rsidRPr="0072396B">
        <w:rPr>
          <w:rFonts w:ascii="ITC Bookman" w:hAnsi="ITC Bookman"/>
          <w:sz w:val="20"/>
          <w:szCs w:val="20"/>
        </w:rPr>
        <w:t xml:space="preserve">. </w:t>
      </w:r>
      <w:r>
        <w:rPr>
          <w:rFonts w:ascii="ITC Bookman" w:hAnsi="ITC Bookman"/>
          <w:sz w:val="20"/>
          <w:szCs w:val="20"/>
        </w:rPr>
        <w:t>ZUG/</w:t>
      </w:r>
      <w:r w:rsidR="007427E7">
        <w:rPr>
          <w:rFonts w:ascii="ITC Bookman" w:hAnsi="ITC Bookman"/>
          <w:sz w:val="20"/>
          <w:szCs w:val="20"/>
        </w:rPr>
        <w:t>ZSF</w:t>
      </w:r>
      <w:r w:rsidRPr="0072396B">
        <w:rPr>
          <w:rFonts w:ascii="ITC Bookman" w:hAnsi="ITC Bookman"/>
          <w:sz w:val="20"/>
          <w:szCs w:val="20"/>
        </w:rPr>
        <w:t xml:space="preserve"> has been run by replacing the seasonal smoothing by taking the mean seasonal cycle (left) and by setting the seas</w:t>
      </w:r>
      <w:r>
        <w:rPr>
          <w:rFonts w:ascii="ITC Bookman" w:hAnsi="ITC Bookman"/>
          <w:sz w:val="20"/>
          <w:szCs w:val="20"/>
        </w:rPr>
        <w:t>onal smoothing parameter t = 7 (right</w:t>
      </w:r>
      <w:r w:rsidRPr="0072396B">
        <w:rPr>
          <w:rFonts w:ascii="ITC Bookman" w:hAnsi="ITC Bookman"/>
          <w:sz w:val="20"/>
          <w:szCs w:val="20"/>
        </w:rPr>
        <w:t xml:space="preserve">). </w:t>
      </w:r>
    </w:p>
    <w:p w14:paraId="181BCFF1" w14:textId="77777777" w:rsidR="00D251CF" w:rsidRPr="0072396B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59F88EA0" w14:textId="23F9A7EF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EC4D09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9</w:t>
      </w:r>
      <w:r w:rsidRPr="00EC4D09">
        <w:rPr>
          <w:rFonts w:ascii="ITC Bookman" w:hAnsi="ITC Bookman"/>
          <w:b/>
          <w:sz w:val="20"/>
          <w:szCs w:val="20"/>
        </w:rPr>
        <w:t>.</w:t>
      </w:r>
      <w:r w:rsidRPr="00EC4D09">
        <w:rPr>
          <w:rFonts w:ascii="ITC Bookman" w:hAnsi="ITC Bookman"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sz w:val="20"/>
          <w:szCs w:val="20"/>
        </w:rPr>
        <w:t>. Robust STL decomposition for ZUG/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>. T</w:t>
      </w:r>
      <w:r w:rsidRPr="00EC4D09">
        <w:rPr>
          <w:rFonts w:ascii="ITC Bookman" w:hAnsi="ITC Bookman"/>
          <w:sz w:val="20"/>
          <w:szCs w:val="20"/>
        </w:rPr>
        <w:t>ime-series of monthly O</w:t>
      </w:r>
      <w:r w:rsidRPr="00EC4D09">
        <w:rPr>
          <w:rFonts w:ascii="ITC Bookman" w:hAnsi="ITC Bookman"/>
          <w:sz w:val="20"/>
          <w:szCs w:val="20"/>
          <w:vertAlign w:val="subscript"/>
        </w:rPr>
        <w:t>3</w:t>
      </w:r>
      <w:r w:rsidRPr="00EC4D09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ZUG/</w:t>
      </w:r>
      <w:r w:rsidR="007427E7">
        <w:rPr>
          <w:rFonts w:ascii="ITC Bookman" w:hAnsi="ITC Bookman"/>
          <w:sz w:val="20"/>
          <w:szCs w:val="20"/>
        </w:rPr>
        <w:t>ZSF</w:t>
      </w:r>
      <w:r w:rsidRPr="00EC4D09">
        <w:rPr>
          <w:rFonts w:ascii="ITC Bookman" w:hAnsi="ITC Bookman"/>
          <w:sz w:val="20"/>
          <w:szCs w:val="20"/>
        </w:rPr>
        <w:t xml:space="preserve">. </w:t>
      </w:r>
      <w:r>
        <w:rPr>
          <w:rFonts w:ascii="ITC Bookman" w:hAnsi="ITC Bookman"/>
          <w:sz w:val="20"/>
          <w:szCs w:val="20"/>
        </w:rPr>
        <w:t xml:space="preserve">Robust </w:t>
      </w:r>
      <w:r w:rsidRPr="00EC4D09">
        <w:rPr>
          <w:rFonts w:ascii="ITC Bookman" w:hAnsi="ITC Bookman"/>
          <w:sz w:val="20"/>
          <w:szCs w:val="20"/>
        </w:rPr>
        <w:t>STL has been run by replacing the seasonal smoothing by taking the mean seasonal cycle (left) and by setting the seasonal smoothing parameter t</w:t>
      </w:r>
      <w:r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=</w:t>
      </w:r>
      <w:r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7 (</w:t>
      </w:r>
      <w:r>
        <w:rPr>
          <w:rFonts w:ascii="ITC Bookman" w:hAnsi="ITC Bookman"/>
          <w:sz w:val="20"/>
          <w:szCs w:val="20"/>
        </w:rPr>
        <w:t>right</w:t>
      </w:r>
      <w:r w:rsidRPr="00EC4D09">
        <w:rPr>
          <w:rFonts w:ascii="ITC Bookman" w:hAnsi="ITC Bookman"/>
          <w:sz w:val="20"/>
          <w:szCs w:val="20"/>
        </w:rPr>
        <w:t xml:space="preserve">). </w:t>
      </w:r>
      <w:r>
        <w:rPr>
          <w:rFonts w:ascii="ITC Bookman" w:hAnsi="ITC Bookman"/>
          <w:sz w:val="20"/>
          <w:szCs w:val="20"/>
        </w:rPr>
        <w:t>The red crosses denotes points identified as “outliers”.</w:t>
      </w:r>
    </w:p>
    <w:p w14:paraId="4EA73FFA" w14:textId="77777777" w:rsidR="00D251CF" w:rsidRPr="00EC4D09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063DF645" w14:textId="7E2F960B" w:rsidR="00D611B1" w:rsidRPr="001D280C" w:rsidRDefault="00D611B1" w:rsidP="005C53E0">
      <w:pPr>
        <w:spacing w:after="0"/>
        <w:rPr>
          <w:rFonts w:ascii="ITC Bookman" w:hAnsi="ITC Bookman"/>
          <w:sz w:val="20"/>
          <w:szCs w:val="20"/>
        </w:rPr>
      </w:pPr>
      <w:r w:rsidRPr="009F3340">
        <w:rPr>
          <w:rFonts w:ascii="ITC Bookman" w:hAnsi="ITC Bookman" w:cs="Times New Roman"/>
          <w:b/>
          <w:sz w:val="20"/>
          <w:szCs w:val="20"/>
        </w:rPr>
        <w:t>F</w:t>
      </w:r>
      <w:r w:rsidRPr="001D280C">
        <w:rPr>
          <w:rFonts w:ascii="ITC Bookman" w:hAnsi="ITC Bookman"/>
          <w:b/>
          <w:sz w:val="20"/>
          <w:szCs w:val="20"/>
        </w:rPr>
        <w:t>igure S</w:t>
      </w:r>
      <w:r>
        <w:rPr>
          <w:rFonts w:ascii="ITC Bookman" w:hAnsi="ITC Bookman"/>
          <w:b/>
          <w:sz w:val="20"/>
          <w:szCs w:val="20"/>
        </w:rPr>
        <w:t>10</w:t>
      </w:r>
      <w:r w:rsidRPr="001D280C">
        <w:rPr>
          <w:rFonts w:ascii="ITC Bookman" w:hAnsi="ITC Bookman"/>
          <w:sz w:val="20"/>
          <w:szCs w:val="20"/>
        </w:rPr>
        <w:t>.</w:t>
      </w:r>
      <w:r>
        <w:rPr>
          <w:rFonts w:ascii="ITC Bookman" w:hAnsi="ITC Bookman"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b/>
          <w:sz w:val="20"/>
          <w:szCs w:val="20"/>
        </w:rPr>
        <w:t>.</w:t>
      </w:r>
      <w:r w:rsidRPr="001D280C">
        <w:rPr>
          <w:rFonts w:ascii="ITC Bookman" w:hAnsi="ITC Bookman"/>
          <w:sz w:val="20"/>
          <w:szCs w:val="20"/>
        </w:rPr>
        <w:t xml:space="preserve"> Artificial O</w:t>
      </w:r>
      <w:r w:rsidRPr="001D280C">
        <w:rPr>
          <w:rFonts w:ascii="ITC Bookman" w:hAnsi="ITC Bookman"/>
          <w:sz w:val="20"/>
          <w:szCs w:val="20"/>
          <w:vertAlign w:val="subscript"/>
        </w:rPr>
        <w:t>3</w:t>
      </w:r>
      <w:r w:rsidRPr="001D280C">
        <w:rPr>
          <w:rFonts w:ascii="ITC Bookman" w:hAnsi="ITC Bookman"/>
          <w:sz w:val="20"/>
          <w:szCs w:val="20"/>
        </w:rPr>
        <w:t xml:space="preserve"> time series at CMN. The period of the “persistent” O</w:t>
      </w:r>
      <w:r w:rsidRPr="001D280C">
        <w:rPr>
          <w:rFonts w:ascii="ITC Bookman" w:hAnsi="ITC Bookman"/>
          <w:sz w:val="20"/>
          <w:szCs w:val="20"/>
          <w:vertAlign w:val="subscript"/>
        </w:rPr>
        <w:t>3</w:t>
      </w:r>
      <w:r w:rsidRPr="001D280C">
        <w:rPr>
          <w:rFonts w:ascii="ITC Bookman" w:hAnsi="ITC Bookman"/>
          <w:sz w:val="20"/>
          <w:szCs w:val="20"/>
        </w:rPr>
        <w:t xml:space="preserve"> episodes (orange shaded area) was substituted with an artificial time series obtained by applying the “robust” periodic STL decomposition to the original monthly O</w:t>
      </w:r>
      <w:r w:rsidRPr="001D280C">
        <w:rPr>
          <w:rFonts w:ascii="ITC Bookman" w:hAnsi="ITC Bookman"/>
          <w:sz w:val="20"/>
          <w:szCs w:val="20"/>
          <w:vertAlign w:val="subscript"/>
        </w:rPr>
        <w:t>3</w:t>
      </w:r>
      <w:r w:rsidRPr="001D280C">
        <w:rPr>
          <w:rFonts w:ascii="ITC Bookman" w:hAnsi="ITC Bookman"/>
          <w:sz w:val="20"/>
          <w:szCs w:val="20"/>
        </w:rPr>
        <w:t xml:space="preserve"> time series.  </w:t>
      </w:r>
    </w:p>
    <w:p w14:paraId="014E4798" w14:textId="77777777" w:rsidR="00D251CF" w:rsidRDefault="00D251CF" w:rsidP="00D611B1">
      <w:pPr>
        <w:spacing w:after="0"/>
        <w:jc w:val="both"/>
        <w:rPr>
          <w:rFonts w:ascii="ITC Bookman" w:hAnsi="ITC Bookman"/>
          <w:b/>
          <w:sz w:val="20"/>
          <w:szCs w:val="20"/>
        </w:rPr>
      </w:pPr>
    </w:p>
    <w:p w14:paraId="0AAB4BEB" w14:textId="32104A43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11</w:t>
      </w:r>
      <w:r w:rsidRPr="009707A6">
        <w:rPr>
          <w:rFonts w:ascii="ITC Bookman" w:hAnsi="ITC Bookman"/>
          <w:b/>
          <w:sz w:val="20"/>
          <w:szCs w:val="20"/>
        </w:rPr>
        <w:t>.</w:t>
      </w:r>
      <w:r>
        <w:rPr>
          <w:rFonts w:ascii="ITC Bookman" w:hAnsi="ITC Bookman"/>
          <w:b/>
          <w:sz w:val="20"/>
          <w:szCs w:val="20"/>
        </w:rPr>
        <w:t xml:space="preserve"> </w:t>
      </w:r>
      <w:r w:rsidRPr="009707A6">
        <w:rPr>
          <w:rFonts w:ascii="ITC Bookman" w:hAnsi="ITC Bookman"/>
          <w:b/>
          <w:sz w:val="20"/>
          <w:szCs w:val="20"/>
        </w:rPr>
        <w:t>Title</w:t>
      </w:r>
      <w:r>
        <w:rPr>
          <w:rFonts w:ascii="ITC Bookman" w:hAnsi="ITC Bookman"/>
          <w:b/>
          <w:sz w:val="20"/>
          <w:szCs w:val="20"/>
        </w:rPr>
        <w:t>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(DJF 1996 – 2016).</w:t>
      </w:r>
      <w:r w:rsidRPr="00173D61">
        <w:rPr>
          <w:rFonts w:ascii="ITC Bookman" w:hAnsi="ITC Bookman"/>
          <w:sz w:val="20"/>
          <w:szCs w:val="20"/>
        </w:rPr>
        <w:t xml:space="preserve"> The shape of ellipses provides a visual representation of the scatter plot for each couple of variables, the numbers and the colour code give representation of the R value (green: negative slope of correlation, red: positive slope of correlation).</w:t>
      </w:r>
      <w:r w:rsidRPr="00694326">
        <w:rPr>
          <w:rFonts w:ascii="ITC Bookman" w:hAnsi="ITC Bookman"/>
          <w:sz w:val="20"/>
          <w:szCs w:val="20"/>
        </w:rPr>
        <w:t xml:space="preserve"> </w:t>
      </w:r>
    </w:p>
    <w:p w14:paraId="62A6A756" w14:textId="77777777" w:rsidR="00D251CF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688C1E28" w14:textId="77777777" w:rsidR="00D611B1" w:rsidRDefault="00D611B1" w:rsidP="00D611B1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12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(MAM 1996 – 2016).</w:t>
      </w:r>
      <w:r w:rsidRPr="00173D61">
        <w:rPr>
          <w:rFonts w:ascii="ITC Bookman" w:hAnsi="ITC Bookman"/>
          <w:sz w:val="20"/>
          <w:szCs w:val="20"/>
        </w:rPr>
        <w:t xml:space="preserve"> </w:t>
      </w:r>
    </w:p>
    <w:p w14:paraId="626DCFAD" w14:textId="5FC8F100" w:rsidR="00D611B1" w:rsidRPr="00694326" w:rsidRDefault="00D611B1" w:rsidP="00D611B1">
      <w:pPr>
        <w:spacing w:after="240"/>
        <w:jc w:val="both"/>
        <w:rPr>
          <w:rFonts w:ascii="ITC Bookman" w:hAnsi="ITC Bookman"/>
          <w:sz w:val="20"/>
          <w:szCs w:val="20"/>
        </w:rPr>
      </w:pPr>
      <w:r w:rsidRPr="00173D61">
        <w:rPr>
          <w:rFonts w:ascii="ITC Bookman" w:hAnsi="ITC Bookman"/>
          <w:sz w:val="20"/>
          <w:szCs w:val="20"/>
        </w:rPr>
        <w:t>The shape of ellipses provides a visual representation of the scatter plot for each couple of variables, the numbers and the colour code give representation of the R value (green: negative slope of correlation, red: positive slope of correlation).</w:t>
      </w:r>
      <w:r w:rsidRPr="00694326">
        <w:rPr>
          <w:rFonts w:ascii="ITC Bookman" w:hAnsi="ITC Bookman"/>
          <w:sz w:val="20"/>
          <w:szCs w:val="20"/>
        </w:rPr>
        <w:t xml:space="preserve"> </w:t>
      </w:r>
    </w:p>
    <w:p w14:paraId="4B377A1B" w14:textId="0D3D5DF4" w:rsidR="00D251CF" w:rsidRDefault="00D611B1" w:rsidP="005C53E0">
      <w:pPr>
        <w:spacing w:after="0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13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(JJA 1996 – 2016).</w:t>
      </w:r>
      <w:r w:rsidRPr="00173D61">
        <w:rPr>
          <w:rFonts w:ascii="ITC Bookman" w:hAnsi="ITC Bookman"/>
          <w:sz w:val="20"/>
          <w:szCs w:val="20"/>
        </w:rPr>
        <w:t xml:space="preserve"> The shape of ellipses provides a visual representation of the scatter plot for each couple of variables, the numbers and the colour code give representation of the R value (green: negative slope of correlation, red: positive slope of correlation).</w:t>
      </w:r>
    </w:p>
    <w:p w14:paraId="08F5B536" w14:textId="064A0ADF" w:rsidR="00D611B1" w:rsidRDefault="00D611B1" w:rsidP="005C53E0">
      <w:pPr>
        <w:spacing w:after="0"/>
        <w:rPr>
          <w:rFonts w:ascii="ITC Bookman" w:hAnsi="ITC Bookman"/>
          <w:sz w:val="20"/>
          <w:szCs w:val="20"/>
        </w:rPr>
      </w:pPr>
    </w:p>
    <w:p w14:paraId="02074980" w14:textId="24A7871B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14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(SON 1996 – 2016).</w:t>
      </w:r>
      <w:r w:rsidRPr="00173D61">
        <w:rPr>
          <w:rFonts w:ascii="ITC Bookman" w:hAnsi="ITC Bookman"/>
          <w:sz w:val="20"/>
          <w:szCs w:val="20"/>
        </w:rPr>
        <w:t xml:space="preserve"> The shape of ellipses provides a visual representation of the scatter plot for each couple of variables, the numbers and the colour code give representation of the R value (green: negative slope of correlation, red: positive slope of correlation).</w:t>
      </w:r>
    </w:p>
    <w:p w14:paraId="051D07BB" w14:textId="77777777" w:rsidR="00D251CF" w:rsidRDefault="00D251CF" w:rsidP="00D611B1">
      <w:pPr>
        <w:spacing w:after="0"/>
        <w:jc w:val="both"/>
        <w:rPr>
          <w:rFonts w:ascii="ITC Bookman" w:hAnsi="ITC Bookman"/>
          <w:b/>
          <w:sz w:val="20"/>
          <w:szCs w:val="20"/>
        </w:rPr>
      </w:pPr>
    </w:p>
    <w:p w14:paraId="1E4C3335" w14:textId="3FDE2B8B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15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average monthly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values and monthly percentiles for the five “source” regions. Monthly mean values are reported by the green lines, monthly 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blue </w:t>
      </w:r>
      <w:r>
        <w:rPr>
          <w:rFonts w:ascii="ITC Bookman" w:hAnsi="ITC Bookman"/>
          <w:sz w:val="20"/>
          <w:szCs w:val="20"/>
        </w:rPr>
        <w:lastRenderedPageBreak/>
        <w:t>lines, 25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cyan lines, 75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orange lines and 95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red lines.</w:t>
      </w:r>
    </w:p>
    <w:p w14:paraId="1CFF59A4" w14:textId="19189611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16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seasonal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anomalies for the CWE “source” region. nomalies of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mean seasonal values are reported by the green lines, monthly 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blue lines, 25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cyan lines, 75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orange lines and 95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episodes at CMN.</w:t>
      </w:r>
    </w:p>
    <w:p w14:paraId="2FD082A4" w14:textId="77777777" w:rsidR="00D251CF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2FEE1B6A" w14:textId="2F28504E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17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seasonal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anomalies for the WE “source” region. </w:t>
      </w:r>
      <w:r w:rsidR="00D251CF">
        <w:rPr>
          <w:rFonts w:ascii="ITC Bookman" w:hAnsi="ITC Bookman"/>
          <w:sz w:val="20"/>
          <w:szCs w:val="20"/>
        </w:rPr>
        <w:t>A</w:t>
      </w:r>
      <w:r>
        <w:rPr>
          <w:rFonts w:ascii="ITC Bookman" w:hAnsi="ITC Bookman"/>
          <w:sz w:val="20"/>
          <w:szCs w:val="20"/>
        </w:rPr>
        <w:t xml:space="preserve">nomalies of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mean seasonal values are reported by the green lines, monthly 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blue lines, 25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cyan lines, 75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orange lines and 95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episodes at CMN.</w:t>
      </w:r>
    </w:p>
    <w:p w14:paraId="5657160F" w14:textId="77777777" w:rsidR="00D251CF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487FF093" w14:textId="12EBB99D" w:rsidR="00D611B1" w:rsidRDefault="00D611B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18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seasonal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anomalies for the CEE “source” region. Anomalies of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mean seasonal values are reported by the green lines, monthly 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blue lines, 25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cyan lines, 75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orange lines and 95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episodes at CMN.</w:t>
      </w:r>
    </w:p>
    <w:p w14:paraId="54E30A91" w14:textId="77777777" w:rsidR="00D251CF" w:rsidRDefault="00D251CF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146F4D56" w14:textId="0348FCCD" w:rsidR="00D611B1" w:rsidRDefault="00D611B1" w:rsidP="005C53E0">
      <w:pPr>
        <w:spacing w:after="0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19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seasonal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anomalies for the NI “source” region. </w:t>
      </w:r>
      <w:r w:rsidR="00D251CF">
        <w:rPr>
          <w:rFonts w:ascii="ITC Bookman" w:hAnsi="ITC Bookman"/>
          <w:sz w:val="20"/>
          <w:szCs w:val="20"/>
        </w:rPr>
        <w:t>A</w:t>
      </w:r>
      <w:r>
        <w:rPr>
          <w:rFonts w:ascii="ITC Bookman" w:hAnsi="ITC Bookman"/>
          <w:sz w:val="20"/>
          <w:szCs w:val="20"/>
        </w:rPr>
        <w:t xml:space="preserve">nomalies of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mean seasonal values are reported by the green lines, monthly 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blue lines, 25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cyan lines, 75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orange lines and 95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episodes at CMN.</w:t>
      </w:r>
    </w:p>
    <w:p w14:paraId="25194CC5" w14:textId="77777777" w:rsidR="00D251CF" w:rsidRDefault="00D251CF" w:rsidP="005C53E0">
      <w:pPr>
        <w:spacing w:after="0"/>
        <w:rPr>
          <w:rFonts w:ascii="ITC Bookman" w:hAnsi="ITC Bookman"/>
          <w:sz w:val="20"/>
          <w:szCs w:val="20"/>
        </w:rPr>
      </w:pPr>
    </w:p>
    <w:p w14:paraId="6C6CBB10" w14:textId="32866406" w:rsidR="00D611B1" w:rsidRDefault="00D611B1" w:rsidP="00D251CF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20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seasonal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anomalies for the MED “source” region. Anomalies of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mean seasonal values are reported by the green lines, monthly 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blue lines, 25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cyan lines, 75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orange lines and 95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episodes at CMN.</w:t>
      </w:r>
    </w:p>
    <w:p w14:paraId="68B80A5A" w14:textId="77777777" w:rsidR="00D251CF" w:rsidRDefault="00D251CF" w:rsidP="00D251CF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2182B6E1" w14:textId="7B345A60" w:rsidR="00D611B1" w:rsidRDefault="00D611B1" w:rsidP="00D611B1">
      <w:pPr>
        <w:spacing w:after="0"/>
        <w:jc w:val="both"/>
        <w:rPr>
          <w:rFonts w:ascii="ITC Bookman" w:hAnsi="ITC Bookman"/>
          <w:sz w:val="20"/>
          <w:szCs w:val="20"/>
        </w:rPr>
      </w:pPr>
      <w:r w:rsidRPr="005F356E">
        <w:rPr>
          <w:rFonts w:ascii="ITC Bookman" w:hAnsi="ITC Bookman"/>
          <w:b/>
          <w:sz w:val="20"/>
          <w:szCs w:val="20"/>
        </w:rPr>
        <w:t xml:space="preserve">Figure </w:t>
      </w:r>
      <w:r>
        <w:rPr>
          <w:rFonts w:ascii="ITC Bookman" w:hAnsi="ITC Bookman"/>
          <w:b/>
          <w:sz w:val="20"/>
          <w:szCs w:val="20"/>
        </w:rPr>
        <w:t>S21</w:t>
      </w:r>
      <w:r w:rsidRPr="005F356E">
        <w:rPr>
          <w:rFonts w:ascii="ITC Bookman" w:hAnsi="ITC Bookman"/>
          <w:b/>
          <w:sz w:val="20"/>
          <w:szCs w:val="20"/>
        </w:rPr>
        <w:t>.</w:t>
      </w:r>
      <w:r w:rsidRPr="005F356E">
        <w:rPr>
          <w:rFonts w:ascii="ITC Bookman" w:hAnsi="ITC Bookman"/>
          <w:sz w:val="20"/>
          <w:szCs w:val="20"/>
        </w:rPr>
        <w:t xml:space="preserve"> Analysis of the relationship between the seasonal difference of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between CMN and JFJ together with air mass transport contributions from the European “source” regions and the seasonal near-surface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anomalies over these region</w:t>
      </w:r>
      <w:r w:rsidR="00D251CF">
        <w:rPr>
          <w:rFonts w:ascii="ITC Bookman" w:hAnsi="ITC Bookman"/>
          <w:sz w:val="20"/>
          <w:szCs w:val="20"/>
        </w:rPr>
        <w:t>s.</w:t>
      </w:r>
      <w:r w:rsidRPr="005F356E">
        <w:rPr>
          <w:rFonts w:ascii="ITC Bookman" w:hAnsi="ITC Bookman"/>
          <w:sz w:val="20"/>
          <w:szCs w:val="20"/>
        </w:rPr>
        <w:t xml:space="preserve"> Scatterplots of mean seasonal differences of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at CMN and JFJ (</w:t>
      </w:r>
      <w:r w:rsidRPr="005F356E">
        <w:rPr>
          <w:rFonts w:ascii="Symbol" w:hAnsi="Symbol"/>
          <w:sz w:val="20"/>
          <w:szCs w:val="20"/>
        </w:rPr>
        <w:t></w:t>
      </w:r>
      <w:r w:rsidRPr="005F356E">
        <w:rPr>
          <w:rFonts w:ascii="ITC Bookman" w:hAnsi="ITC Bookman"/>
          <w:sz w:val="20"/>
          <w:szCs w:val="20"/>
        </w:rPr>
        <w:t>Ozone), with SRR</w:t>
      </w:r>
      <w:r w:rsidRPr="005C53E0">
        <w:rPr>
          <w:rFonts w:ascii="ITC Bookman" w:hAnsi="ITC Bookman"/>
          <w:sz w:val="20"/>
          <w:szCs w:val="20"/>
          <w:vertAlign w:val="subscript"/>
        </w:rPr>
        <w:t>reg</w:t>
      </w:r>
      <w:r w:rsidRPr="005F356E">
        <w:rPr>
          <w:rFonts w:ascii="ITC Bookman" w:hAnsi="ITC Bookman"/>
          <w:sz w:val="20"/>
          <w:szCs w:val="20"/>
        </w:rPr>
        <w:t>/SRR</w:t>
      </w:r>
      <w:r w:rsidRPr="005C53E0">
        <w:rPr>
          <w:rFonts w:ascii="ITC Bookman" w:hAnsi="ITC Bookman"/>
          <w:sz w:val="20"/>
          <w:szCs w:val="20"/>
          <w:vertAlign w:val="subscript"/>
        </w:rPr>
        <w:t>tot</w:t>
      </w:r>
      <w:r w:rsidRPr="005F356E">
        <w:rPr>
          <w:rFonts w:ascii="ITC Bookman" w:hAnsi="ITC Bookman"/>
          <w:sz w:val="20"/>
          <w:szCs w:val="20"/>
        </w:rPr>
        <w:t xml:space="preserve"> over the European “source” regions (i.e. CWE: Continental West Europe; WE: West Europe; CEE: Continental East Europe; NI: North Italy; MED: Mediterranean basin) as a function of the seasonal </w:t>
      </w:r>
      <w:r>
        <w:rPr>
          <w:rFonts w:ascii="ITC Bookman" w:hAnsi="ITC Bookman"/>
          <w:sz w:val="20"/>
          <w:szCs w:val="20"/>
        </w:rPr>
        <w:t>95</w:t>
      </w:r>
      <w:r w:rsidRPr="005F356E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of </w:t>
      </w:r>
      <w:r w:rsidRPr="005F356E">
        <w:rPr>
          <w:rFonts w:ascii="ITC Bookman" w:hAnsi="ITC Bookman"/>
          <w:sz w:val="20"/>
          <w:szCs w:val="20"/>
        </w:rPr>
        <w:t>near-surface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over these regions (as deduced by the Airbase dataset analysis).</w:t>
      </w:r>
    </w:p>
    <w:p w14:paraId="2EAEA0F8" w14:textId="77777777" w:rsidR="00D611B1" w:rsidRPr="005F356E" w:rsidRDefault="00D611B1" w:rsidP="00D611B1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7C620BA7" w14:textId="77777777" w:rsidR="00D611B1" w:rsidRPr="009F3340" w:rsidRDefault="00D611B1" w:rsidP="00D611B1">
      <w:pPr>
        <w:rPr>
          <w:rFonts w:ascii="ITC Bookman" w:hAnsi="ITC Bookman"/>
          <w:b/>
          <w:sz w:val="20"/>
          <w:szCs w:val="20"/>
        </w:rPr>
      </w:pPr>
      <w:r w:rsidRPr="00985099">
        <w:rPr>
          <w:rFonts w:ascii="ITC Bookman" w:hAnsi="ITC Bookman"/>
          <w:b/>
          <w:sz w:val="20"/>
          <w:szCs w:val="20"/>
        </w:rPr>
        <w:t>Table S1</w:t>
      </w:r>
      <w:r w:rsidRPr="00985099">
        <w:rPr>
          <w:rFonts w:ascii="ITC Bookman" w:hAnsi="ITC Bookman"/>
          <w:sz w:val="20"/>
          <w:szCs w:val="20"/>
        </w:rPr>
        <w:t xml:space="preserve">.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 w:rsidRPr="00985099">
        <w:rPr>
          <w:rFonts w:ascii="ITC Bookman" w:hAnsi="ITC Bookman"/>
          <w:sz w:val="20"/>
          <w:szCs w:val="20"/>
        </w:rPr>
        <w:t xml:space="preserve">trends/tendencies based on observed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 w:rsidRPr="00985099">
        <w:rPr>
          <w:rFonts w:ascii="ITC Bookman" w:hAnsi="ITC Bookman"/>
          <w:sz w:val="20"/>
          <w:szCs w:val="20"/>
        </w:rPr>
        <w:t xml:space="preserve">monthly values. Trend/tendency values are expressed as ppb/year. P-values are reported for the linear regression model and for the Mann – Kendall test. For the Theil-Sen estimator, the 95% confidence intervals obtained by the bootstrap analysis were reported. Different data selection are considered: all data, nighttime and daytime. </w:t>
      </w:r>
    </w:p>
    <w:p w14:paraId="58660366" w14:textId="77777777" w:rsidR="00D611B1" w:rsidRDefault="00D611B1" w:rsidP="00D611B1">
      <w:pPr>
        <w:spacing w:after="0"/>
        <w:rPr>
          <w:noProof/>
          <w:sz w:val="24"/>
        </w:rPr>
      </w:pPr>
    </w:p>
    <w:p w14:paraId="2F21DCA7" w14:textId="411AD161" w:rsidR="0035501B" w:rsidRDefault="0035501B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3CDF407E" w14:textId="77777777" w:rsidR="0035501B" w:rsidRDefault="0035501B" w:rsidP="0035501B">
      <w:pPr>
        <w:spacing w:after="240"/>
        <w:jc w:val="both"/>
        <w:rPr>
          <w:rFonts w:ascii="ITC Bookman" w:hAnsi="ITC Bookman"/>
          <w:sz w:val="20"/>
          <w:szCs w:val="20"/>
        </w:rPr>
      </w:pPr>
    </w:p>
    <w:p w14:paraId="1F51E61E" w14:textId="7A163919" w:rsidR="00374EEB" w:rsidRDefault="007427E7" w:rsidP="001770BC">
      <w:pPr>
        <w:spacing w:after="0"/>
        <w:jc w:val="center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noProof/>
          <w:sz w:val="20"/>
          <w:szCs w:val="20"/>
        </w:rPr>
        <w:drawing>
          <wp:inline distT="0" distB="0" distL="0" distR="0" wp14:anchorId="18BACD9B" wp14:editId="75305CDA">
            <wp:extent cx="5300134" cy="34887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70" cy="34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05E4E" w14:textId="1CE91448" w:rsidR="00374EEB" w:rsidRDefault="00374EEB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S1. Title.</w:t>
      </w:r>
      <w:r>
        <w:rPr>
          <w:rFonts w:ascii="ITC Bookman" w:hAnsi="ITC Bookman"/>
          <w:sz w:val="20"/>
          <w:szCs w:val="20"/>
        </w:rPr>
        <w:t xml:space="preserve"> </w:t>
      </w:r>
      <w:r w:rsidR="00E71C30">
        <w:rPr>
          <w:rFonts w:ascii="ITC Bookman" w:hAnsi="ITC Bookman"/>
          <w:sz w:val="20"/>
          <w:szCs w:val="20"/>
        </w:rPr>
        <w:t>L</w:t>
      </w:r>
      <w:r>
        <w:rPr>
          <w:rFonts w:ascii="ITC Bookman" w:hAnsi="ITC Bookman"/>
          <w:sz w:val="20"/>
          <w:szCs w:val="20"/>
        </w:rPr>
        <w:t xml:space="preserve">ocations of the measurement sites. Red triangle indicates Mt. Cimone (CMN), </w:t>
      </w:r>
      <w:r w:rsidR="00432CAA">
        <w:rPr>
          <w:rFonts w:ascii="ITC Bookman" w:hAnsi="ITC Bookman"/>
          <w:sz w:val="20"/>
          <w:szCs w:val="20"/>
        </w:rPr>
        <w:t>orange</w:t>
      </w:r>
      <w:r>
        <w:rPr>
          <w:rFonts w:ascii="ITC Bookman" w:hAnsi="ITC Bookman"/>
          <w:sz w:val="20"/>
          <w:szCs w:val="20"/>
        </w:rPr>
        <w:t xml:space="preserve"> triangle indicates Febbio (FEB)</w:t>
      </w:r>
      <w:r w:rsidR="00432CAA">
        <w:rPr>
          <w:rFonts w:ascii="ITC Bookman" w:hAnsi="ITC Bookman"/>
          <w:sz w:val="20"/>
          <w:szCs w:val="20"/>
        </w:rPr>
        <w:t>, blue</w:t>
      </w:r>
      <w:r>
        <w:rPr>
          <w:rFonts w:ascii="ITC Bookman" w:hAnsi="ITC Bookman"/>
          <w:sz w:val="20"/>
          <w:szCs w:val="20"/>
        </w:rPr>
        <w:t xml:space="preserve"> triangle indicates Jungfraujoch (</w:t>
      </w:r>
      <w:r w:rsidR="00E71C30">
        <w:rPr>
          <w:rFonts w:ascii="ITC Bookman" w:hAnsi="ITC Bookman"/>
          <w:sz w:val="20"/>
          <w:szCs w:val="20"/>
        </w:rPr>
        <w:t>JFJ</w:t>
      </w:r>
      <w:r w:rsidR="00043E8C">
        <w:rPr>
          <w:rFonts w:ascii="ITC Bookman" w:hAnsi="ITC Bookman"/>
          <w:sz w:val="20"/>
          <w:szCs w:val="20"/>
        </w:rPr>
        <w:t>)</w:t>
      </w:r>
      <w:r w:rsidR="00432CAA">
        <w:rPr>
          <w:rFonts w:ascii="ITC Bookman" w:hAnsi="ITC Bookman"/>
          <w:sz w:val="20"/>
          <w:szCs w:val="20"/>
        </w:rPr>
        <w:t xml:space="preserve"> and green triangle indicate</w:t>
      </w:r>
      <w:r w:rsidR="00043E8C">
        <w:rPr>
          <w:rFonts w:ascii="ITC Bookman" w:hAnsi="ITC Bookman"/>
          <w:sz w:val="20"/>
          <w:szCs w:val="20"/>
        </w:rPr>
        <w:t>s</w:t>
      </w:r>
      <w:r w:rsidR="00432CAA">
        <w:rPr>
          <w:rFonts w:ascii="ITC Bookman" w:hAnsi="ITC Bookman"/>
          <w:sz w:val="20"/>
          <w:szCs w:val="20"/>
        </w:rPr>
        <w:t xml:space="preserve"> Zugspitze (ZUG/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>).</w:t>
      </w:r>
    </w:p>
    <w:p w14:paraId="2928B210" w14:textId="77777777" w:rsidR="00176FD5" w:rsidRDefault="00176FD5" w:rsidP="00374EEB">
      <w:pPr>
        <w:rPr>
          <w:rFonts w:ascii="ITC Bookman" w:hAnsi="ITC Bookman"/>
          <w:sz w:val="20"/>
          <w:szCs w:val="20"/>
        </w:rPr>
      </w:pPr>
    </w:p>
    <w:p w14:paraId="1943DA85" w14:textId="5B22D776" w:rsidR="00176FD5" w:rsidRDefault="00176FD5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3178FAE7" w14:textId="34BBCC46" w:rsidR="00176FD5" w:rsidRDefault="001D4C5D" w:rsidP="00176FD5">
      <w:pPr>
        <w:spacing w:after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00EF368" wp14:editId="77C9E2D3">
            <wp:extent cx="3939692" cy="279400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96" cy="28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0BE14" w14:textId="3E6A2B6F" w:rsidR="00176FD5" w:rsidRDefault="00176FD5" w:rsidP="005C53E0">
      <w:pPr>
        <w:spacing w:after="0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2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Comparison of O</w:t>
      </w:r>
      <w:r w:rsidRPr="00176FD5">
        <w:rPr>
          <w:rFonts w:ascii="ITC Bookman" w:hAnsi="ITC Bookman"/>
          <w:sz w:val="20"/>
          <w:szCs w:val="20"/>
          <w:vertAlign w:val="subscript"/>
        </w:rPr>
        <w:t>3</w:t>
      </w:r>
      <w:r>
        <w:rPr>
          <w:rFonts w:ascii="ITC Bookman" w:hAnsi="ITC Bookman"/>
          <w:sz w:val="20"/>
          <w:szCs w:val="20"/>
        </w:rPr>
        <w:t xml:space="preserve"> monthly mean values at 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 xml:space="preserve"> and ZUG for the period 2002 – 2010. Red </w:t>
      </w:r>
      <w:r w:rsidR="007C1C16">
        <w:rPr>
          <w:rFonts w:ascii="ITC Bookman" w:hAnsi="ITC Bookman"/>
          <w:sz w:val="20"/>
          <w:szCs w:val="20"/>
        </w:rPr>
        <w:t>(cyan) plot denotes</w:t>
      </w:r>
      <w:r>
        <w:rPr>
          <w:rFonts w:ascii="ITC Bookman" w:hAnsi="ITC Bookman"/>
          <w:sz w:val="20"/>
          <w:szCs w:val="20"/>
        </w:rPr>
        <w:t xml:space="preserve"> </w:t>
      </w:r>
      <w:r w:rsidR="007427E7">
        <w:rPr>
          <w:rFonts w:ascii="ITC Bookman" w:hAnsi="ITC Bookman"/>
          <w:sz w:val="20"/>
          <w:szCs w:val="20"/>
        </w:rPr>
        <w:t>ZSF</w:t>
      </w:r>
      <w:r w:rsidR="007C1C16">
        <w:rPr>
          <w:rFonts w:ascii="ITC Bookman" w:hAnsi="ITC Bookman"/>
          <w:sz w:val="20"/>
          <w:szCs w:val="20"/>
        </w:rPr>
        <w:t xml:space="preserve"> (ZUG) observations</w:t>
      </w:r>
      <w:r>
        <w:rPr>
          <w:rFonts w:ascii="ITC Bookman" w:hAnsi="ITC Bookman"/>
          <w:sz w:val="20"/>
          <w:szCs w:val="20"/>
        </w:rPr>
        <w:t xml:space="preserve">. </w:t>
      </w:r>
      <w:r w:rsidR="007C1C16">
        <w:rPr>
          <w:rFonts w:ascii="ITC Bookman" w:hAnsi="ITC Bookman"/>
          <w:sz w:val="20"/>
          <w:szCs w:val="20"/>
        </w:rPr>
        <w:t>The vertical bars indicate</w:t>
      </w:r>
      <w:r>
        <w:rPr>
          <w:rFonts w:ascii="ITC Bookman" w:hAnsi="ITC Bookman"/>
          <w:sz w:val="20"/>
          <w:szCs w:val="20"/>
        </w:rPr>
        <w:t xml:space="preserve"> the 95</w:t>
      </w:r>
      <w:r w:rsidRPr="00176FD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confidence level.</w:t>
      </w:r>
    </w:p>
    <w:p w14:paraId="5BFD7C62" w14:textId="77777777" w:rsidR="0072030F" w:rsidRDefault="0072030F" w:rsidP="00374EEB">
      <w:pPr>
        <w:rPr>
          <w:rFonts w:ascii="ITC Bookman" w:hAnsi="ITC Bookman"/>
          <w:sz w:val="20"/>
          <w:szCs w:val="20"/>
        </w:rPr>
      </w:pPr>
    </w:p>
    <w:p w14:paraId="2699B4C3" w14:textId="71B86BA9" w:rsidR="0072030F" w:rsidRDefault="0072030F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4B0735E5" w14:textId="26051E5C" w:rsidR="0072030F" w:rsidRDefault="007C1C16" w:rsidP="00D47D19">
      <w:pPr>
        <w:jc w:val="center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noProof/>
          <w:sz w:val="20"/>
          <w:szCs w:val="20"/>
        </w:rPr>
        <w:lastRenderedPageBreak/>
        <w:drawing>
          <wp:inline distT="0" distB="0" distL="0" distR="0" wp14:anchorId="53F61767" wp14:editId="139CA7C4">
            <wp:extent cx="4614533" cy="4381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80" cy="4387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904ED" w14:textId="1C8368BC" w:rsidR="0072030F" w:rsidRDefault="0072030F" w:rsidP="005C53E0">
      <w:pPr>
        <w:spacing w:after="0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 w:rsidR="00D47D19">
        <w:rPr>
          <w:rFonts w:ascii="ITC Bookman" w:hAnsi="ITC Bookman"/>
          <w:b/>
          <w:sz w:val="20"/>
          <w:szCs w:val="20"/>
        </w:rPr>
        <w:t>3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</w:t>
      </w:r>
      <w:r w:rsidR="00D47D19">
        <w:rPr>
          <w:rFonts w:ascii="ITC Bookman" w:hAnsi="ITC Bookman"/>
          <w:sz w:val="20"/>
          <w:szCs w:val="20"/>
        </w:rPr>
        <w:t>Spatial distribution of the air-</w:t>
      </w:r>
      <w:r>
        <w:rPr>
          <w:rFonts w:ascii="ITC Bookman" w:hAnsi="ITC Bookman"/>
          <w:sz w:val="20"/>
          <w:szCs w:val="20"/>
        </w:rPr>
        <w:t xml:space="preserve">quality </w:t>
      </w:r>
      <w:r w:rsidR="00D47D19">
        <w:rPr>
          <w:rFonts w:ascii="ITC Bookman" w:hAnsi="ITC Bookman"/>
          <w:sz w:val="20"/>
          <w:szCs w:val="20"/>
        </w:rPr>
        <w:t>stations included in the AirBase dataset.</w:t>
      </w:r>
      <w:r w:rsidR="001D4C5D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Red </w:t>
      </w:r>
      <w:r w:rsidR="00D47D19">
        <w:rPr>
          <w:rFonts w:ascii="ITC Bookman" w:hAnsi="ITC Bookman"/>
          <w:sz w:val="20"/>
          <w:szCs w:val="20"/>
        </w:rPr>
        <w:t>points indicates stations in the NI region, purple in the WE region, green in the CWE region, orange in the CEE region and cyan in the MED region</w:t>
      </w:r>
      <w:r>
        <w:rPr>
          <w:rFonts w:ascii="ITC Bookman" w:hAnsi="ITC Bookman"/>
          <w:sz w:val="20"/>
          <w:szCs w:val="20"/>
        </w:rPr>
        <w:t>.</w:t>
      </w:r>
    </w:p>
    <w:p w14:paraId="5A47607C" w14:textId="77777777" w:rsidR="0072030F" w:rsidRDefault="0072030F" w:rsidP="00374EEB">
      <w:pPr>
        <w:rPr>
          <w:rFonts w:ascii="ITC Bookman" w:hAnsi="ITC Bookman"/>
          <w:sz w:val="20"/>
          <w:szCs w:val="20"/>
        </w:rPr>
      </w:pPr>
    </w:p>
    <w:p w14:paraId="21FEC40F" w14:textId="346328EC" w:rsidR="0055006A" w:rsidRDefault="00B81C13" w:rsidP="007427E7">
      <w:pPr>
        <w:autoSpaceDE w:val="0"/>
        <w:autoSpaceDN w:val="0"/>
        <w:adjustRightInd w:val="0"/>
        <w:spacing w:after="0" w:line="360" w:lineRule="auto"/>
        <w:jc w:val="center"/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sz w:val="20"/>
          <w:szCs w:val="20"/>
        </w:rPr>
        <w:br w:type="page"/>
      </w:r>
      <w:r w:rsidR="00241EDE">
        <w:rPr>
          <w:rFonts w:ascii="ITC Bookman" w:hAnsi="ITC Bookman" w:cs="Times New Roman"/>
          <w:noProof/>
          <w:sz w:val="20"/>
          <w:szCs w:val="20"/>
        </w:rPr>
        <w:lastRenderedPageBreak/>
        <w:drawing>
          <wp:inline distT="0" distB="0" distL="0" distR="0" wp14:anchorId="3819D8DF" wp14:editId="52A1BEF3">
            <wp:extent cx="6332220" cy="49466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L@CMN_NOROBUS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8"/>
                    <a:stretch/>
                  </pic:blipFill>
                  <pic:spPr bwMode="auto">
                    <a:xfrm>
                      <a:off x="0" y="0"/>
                      <a:ext cx="6332220" cy="494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81501" w14:textId="41D44DBF" w:rsidR="00173D61" w:rsidRPr="0072396B" w:rsidRDefault="00173D6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4</w:t>
      </w:r>
      <w:r w:rsidRPr="0072396B"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Not Robust STL decomposition for CMN.</w:t>
      </w:r>
      <w:r w:rsidR="001D4C5D">
        <w:rPr>
          <w:rFonts w:ascii="ITC Bookman" w:hAnsi="ITC Bookman"/>
          <w:sz w:val="20"/>
          <w:szCs w:val="20"/>
        </w:rPr>
        <w:t xml:space="preserve"> </w:t>
      </w:r>
      <w:r w:rsidR="00EC4D09">
        <w:rPr>
          <w:rFonts w:ascii="ITC Bookman" w:hAnsi="ITC Bookman"/>
          <w:sz w:val="20"/>
          <w:szCs w:val="20"/>
        </w:rPr>
        <w:t>T</w:t>
      </w:r>
      <w:r w:rsidRPr="0072396B">
        <w:rPr>
          <w:rFonts w:ascii="ITC Bookman" w:hAnsi="ITC Bookman"/>
          <w:sz w:val="20"/>
          <w:szCs w:val="20"/>
        </w:rPr>
        <w:t>ime-series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 w:rsidR="00EC4D09">
        <w:rPr>
          <w:rFonts w:ascii="ITC Bookman" w:hAnsi="ITC Bookman"/>
          <w:sz w:val="20"/>
          <w:szCs w:val="20"/>
        </w:rPr>
        <w:t xml:space="preserve"> for CMN</w:t>
      </w:r>
      <w:r w:rsidRPr="0072396B">
        <w:rPr>
          <w:rFonts w:ascii="ITC Bookman" w:hAnsi="ITC Bookman"/>
          <w:sz w:val="20"/>
          <w:szCs w:val="20"/>
        </w:rPr>
        <w:t>. STL has been run by replacing the seasonal smoothing by taking the mean seasonal cycle (left) and by setting the seasonal smoothing parameter t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=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7 (</w:t>
      </w:r>
      <w:r w:rsidR="002470DA">
        <w:rPr>
          <w:rFonts w:ascii="ITC Bookman" w:hAnsi="ITC Bookman"/>
          <w:sz w:val="20"/>
          <w:szCs w:val="20"/>
        </w:rPr>
        <w:t>right</w:t>
      </w:r>
      <w:r w:rsidRPr="0072396B">
        <w:rPr>
          <w:rFonts w:ascii="ITC Bookman" w:hAnsi="ITC Bookman"/>
          <w:sz w:val="20"/>
          <w:szCs w:val="20"/>
        </w:rPr>
        <w:t xml:space="preserve">). </w:t>
      </w:r>
    </w:p>
    <w:p w14:paraId="2B23A553" w14:textId="77777777" w:rsidR="0055006A" w:rsidRDefault="0055006A">
      <w:pPr>
        <w:rPr>
          <w:rFonts w:ascii="ITC Bookman" w:hAnsi="ITC Bookman" w:cs="Times New Roman"/>
          <w:sz w:val="20"/>
          <w:szCs w:val="20"/>
        </w:rPr>
      </w:pPr>
    </w:p>
    <w:p w14:paraId="118A1F45" w14:textId="77777777" w:rsidR="0055006A" w:rsidRDefault="00241EDE">
      <w:pPr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noProof/>
          <w:sz w:val="20"/>
          <w:szCs w:val="20"/>
        </w:rPr>
        <w:lastRenderedPageBreak/>
        <w:drawing>
          <wp:inline distT="0" distB="0" distL="0" distR="0" wp14:anchorId="22274540" wp14:editId="57985AFA">
            <wp:extent cx="6332220" cy="49085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L@CMN_ROBUS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0"/>
                    <a:stretch/>
                  </pic:blipFill>
                  <pic:spPr bwMode="auto">
                    <a:xfrm>
                      <a:off x="0" y="0"/>
                      <a:ext cx="6332220" cy="490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9E443" w14:textId="7F1C1E75" w:rsidR="00173D61" w:rsidRPr="0072396B" w:rsidRDefault="00173D6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5</w:t>
      </w:r>
      <w:r w:rsidRPr="0072396B"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Robust STL decomposition for CMN. </w:t>
      </w:r>
      <w:r w:rsidR="00EC4D09">
        <w:rPr>
          <w:rFonts w:ascii="ITC Bookman" w:hAnsi="ITC Bookman"/>
          <w:sz w:val="20"/>
          <w:szCs w:val="20"/>
        </w:rPr>
        <w:t>T</w:t>
      </w:r>
      <w:r w:rsidRPr="0072396B">
        <w:rPr>
          <w:rFonts w:ascii="ITC Bookman" w:hAnsi="ITC Bookman"/>
          <w:sz w:val="20"/>
          <w:szCs w:val="20"/>
        </w:rPr>
        <w:t>ime-series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 w:rsidR="00EC4D09">
        <w:rPr>
          <w:rFonts w:ascii="ITC Bookman" w:hAnsi="ITC Bookman"/>
          <w:sz w:val="20"/>
          <w:szCs w:val="20"/>
        </w:rPr>
        <w:t xml:space="preserve"> for CMN</w:t>
      </w:r>
      <w:r w:rsidRPr="0072396B">
        <w:rPr>
          <w:rFonts w:ascii="ITC Bookman" w:hAnsi="ITC Bookman"/>
          <w:sz w:val="20"/>
          <w:szCs w:val="20"/>
        </w:rPr>
        <w:t xml:space="preserve">. </w:t>
      </w:r>
      <w:r w:rsidR="00073AC3">
        <w:rPr>
          <w:rFonts w:ascii="ITC Bookman" w:hAnsi="ITC Bookman"/>
          <w:sz w:val="20"/>
          <w:szCs w:val="20"/>
        </w:rPr>
        <w:t xml:space="preserve">Robust </w:t>
      </w:r>
      <w:r w:rsidRPr="0072396B">
        <w:rPr>
          <w:rFonts w:ascii="ITC Bookman" w:hAnsi="ITC Bookman"/>
          <w:sz w:val="20"/>
          <w:szCs w:val="20"/>
        </w:rPr>
        <w:t>STL has been run by replacing the seasonal smoothing by taking the mean seasonal cycle (left) and by setting the seasonal smoothing parameter t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=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Pr="0072396B">
        <w:rPr>
          <w:rFonts w:ascii="ITC Bookman" w:hAnsi="ITC Bookman"/>
          <w:sz w:val="20"/>
          <w:szCs w:val="20"/>
        </w:rPr>
        <w:t>7 (</w:t>
      </w:r>
      <w:r w:rsidR="002470DA">
        <w:rPr>
          <w:rFonts w:ascii="ITC Bookman" w:hAnsi="ITC Bookman"/>
          <w:sz w:val="20"/>
          <w:szCs w:val="20"/>
        </w:rPr>
        <w:t>right</w:t>
      </w:r>
      <w:r w:rsidRPr="0072396B">
        <w:rPr>
          <w:rFonts w:ascii="ITC Bookman" w:hAnsi="ITC Bookman"/>
          <w:sz w:val="20"/>
          <w:szCs w:val="20"/>
        </w:rPr>
        <w:t xml:space="preserve">). </w:t>
      </w:r>
      <w:r w:rsidR="00EC4D09">
        <w:rPr>
          <w:rFonts w:ascii="ITC Bookman" w:hAnsi="ITC Bookman"/>
          <w:sz w:val="20"/>
          <w:szCs w:val="20"/>
        </w:rPr>
        <w:t>The red crosses denotes points identified as “outliers”.</w:t>
      </w:r>
    </w:p>
    <w:p w14:paraId="40A758C2" w14:textId="77777777" w:rsidR="0055006A" w:rsidRDefault="0055006A">
      <w:pPr>
        <w:rPr>
          <w:rFonts w:ascii="ITC Bookman" w:hAnsi="ITC Bookman" w:cs="Times New Roman"/>
          <w:sz w:val="20"/>
          <w:szCs w:val="20"/>
        </w:rPr>
      </w:pPr>
    </w:p>
    <w:p w14:paraId="6F04E79C" w14:textId="77777777" w:rsidR="00241EDE" w:rsidRDefault="00241EDE">
      <w:pPr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noProof/>
          <w:sz w:val="20"/>
          <w:szCs w:val="20"/>
        </w:rPr>
        <w:lastRenderedPageBreak/>
        <w:drawing>
          <wp:inline distT="0" distB="0" distL="0" distR="0" wp14:anchorId="0AE7018A" wp14:editId="5B32C101">
            <wp:extent cx="6332220" cy="4959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L@JFJ_NOROBUS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7"/>
                    <a:stretch/>
                  </pic:blipFill>
                  <pic:spPr bwMode="auto">
                    <a:xfrm>
                      <a:off x="0" y="0"/>
                      <a:ext cx="6332220" cy="495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89ABA" w14:textId="6CF6DAF4" w:rsidR="00173D61" w:rsidRPr="0072396B" w:rsidRDefault="00173D6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6</w:t>
      </w:r>
      <w:r w:rsidRPr="0072396B"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Not robust STL decomposition for JFJ. </w:t>
      </w:r>
      <w:r w:rsidR="00EC4D09">
        <w:rPr>
          <w:rFonts w:ascii="ITC Bookman" w:hAnsi="ITC Bookman"/>
          <w:sz w:val="20"/>
          <w:szCs w:val="20"/>
        </w:rPr>
        <w:t>Time</w:t>
      </w:r>
      <w:r w:rsidRPr="0072396B">
        <w:rPr>
          <w:rFonts w:ascii="ITC Bookman" w:hAnsi="ITC Bookman"/>
          <w:sz w:val="20"/>
          <w:szCs w:val="20"/>
        </w:rPr>
        <w:t>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 w:rsidR="00EC4D09">
        <w:rPr>
          <w:rFonts w:ascii="ITC Bookman" w:hAnsi="ITC Bookman"/>
          <w:sz w:val="20"/>
          <w:szCs w:val="20"/>
        </w:rPr>
        <w:t xml:space="preserve"> for JFJ</w:t>
      </w:r>
      <w:r w:rsidRPr="0072396B">
        <w:rPr>
          <w:rFonts w:ascii="ITC Bookman" w:hAnsi="ITC Bookman"/>
          <w:sz w:val="20"/>
          <w:szCs w:val="20"/>
        </w:rPr>
        <w:t>. STL has been run by replacing the seasonal smoothing by taking the mean seasonal cycle (left) and by setting the seas</w:t>
      </w:r>
      <w:r w:rsidR="002470DA">
        <w:rPr>
          <w:rFonts w:ascii="ITC Bookman" w:hAnsi="ITC Bookman"/>
          <w:sz w:val="20"/>
          <w:szCs w:val="20"/>
        </w:rPr>
        <w:t>onal smoothing parameter t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="002470DA">
        <w:rPr>
          <w:rFonts w:ascii="ITC Bookman" w:hAnsi="ITC Bookman"/>
          <w:sz w:val="20"/>
          <w:szCs w:val="20"/>
        </w:rPr>
        <w:t>=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="002470DA">
        <w:rPr>
          <w:rFonts w:ascii="ITC Bookman" w:hAnsi="ITC Bookman"/>
          <w:sz w:val="20"/>
          <w:szCs w:val="20"/>
        </w:rPr>
        <w:t>7 (right</w:t>
      </w:r>
      <w:r w:rsidRPr="0072396B">
        <w:rPr>
          <w:rFonts w:ascii="ITC Bookman" w:hAnsi="ITC Bookman"/>
          <w:sz w:val="20"/>
          <w:szCs w:val="20"/>
        </w:rPr>
        <w:t xml:space="preserve">). </w:t>
      </w:r>
    </w:p>
    <w:p w14:paraId="7EC4D0CF" w14:textId="77777777" w:rsidR="00241EDE" w:rsidRDefault="00241EDE">
      <w:pPr>
        <w:rPr>
          <w:rFonts w:ascii="ITC Bookman" w:hAnsi="ITC Bookman" w:cs="Times New Roman"/>
          <w:sz w:val="20"/>
          <w:szCs w:val="20"/>
        </w:rPr>
      </w:pPr>
    </w:p>
    <w:p w14:paraId="5F8B81D8" w14:textId="77777777" w:rsidR="00241EDE" w:rsidRDefault="00241EDE">
      <w:pPr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noProof/>
          <w:sz w:val="20"/>
          <w:szCs w:val="20"/>
        </w:rPr>
        <w:lastRenderedPageBreak/>
        <w:drawing>
          <wp:inline distT="0" distB="0" distL="0" distR="0" wp14:anchorId="45233435" wp14:editId="7B341BFB">
            <wp:extent cx="6332220" cy="49085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L@JFJ_ROBUS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0"/>
                    <a:stretch/>
                  </pic:blipFill>
                  <pic:spPr bwMode="auto">
                    <a:xfrm>
                      <a:off x="0" y="0"/>
                      <a:ext cx="6332220" cy="490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123FF" w14:textId="45C85E77" w:rsidR="00884223" w:rsidRDefault="00884223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EC4D09">
        <w:rPr>
          <w:rFonts w:ascii="ITC Bookman" w:hAnsi="ITC Bookman"/>
          <w:b/>
          <w:sz w:val="20"/>
          <w:szCs w:val="20"/>
        </w:rPr>
        <w:t xml:space="preserve">Figure </w:t>
      </w:r>
      <w:r w:rsidR="00173D61" w:rsidRPr="00EC4D09">
        <w:rPr>
          <w:rFonts w:ascii="ITC Bookman" w:hAnsi="ITC Bookman"/>
          <w:b/>
          <w:sz w:val="20"/>
          <w:szCs w:val="20"/>
        </w:rPr>
        <w:t>S</w:t>
      </w:r>
      <w:r w:rsidR="007C1C16">
        <w:rPr>
          <w:rFonts w:ascii="ITC Bookman" w:hAnsi="ITC Bookman"/>
          <w:b/>
          <w:sz w:val="20"/>
          <w:szCs w:val="20"/>
        </w:rPr>
        <w:t>7</w:t>
      </w:r>
      <w:r w:rsidRPr="00EC4D09">
        <w:rPr>
          <w:rFonts w:ascii="ITC Bookman" w:hAnsi="ITC Bookman"/>
          <w:b/>
          <w:sz w:val="20"/>
          <w:szCs w:val="20"/>
        </w:rPr>
        <w:t>.</w:t>
      </w:r>
      <w:r w:rsidRPr="00EC4D09">
        <w:rPr>
          <w:rFonts w:ascii="ITC Bookman" w:hAnsi="ITC Bookman"/>
          <w:sz w:val="20"/>
          <w:szCs w:val="20"/>
        </w:rPr>
        <w:t xml:space="preserve"> </w:t>
      </w:r>
      <w:r w:rsidR="00173D61">
        <w:rPr>
          <w:rFonts w:ascii="ITC Bookman" w:hAnsi="ITC Bookman"/>
          <w:sz w:val="20"/>
          <w:szCs w:val="20"/>
        </w:rPr>
        <w:t xml:space="preserve">Robust STL decomposition for JFJ. </w:t>
      </w:r>
      <w:r w:rsidR="00EC4D09">
        <w:rPr>
          <w:rFonts w:ascii="ITC Bookman" w:hAnsi="ITC Bookman"/>
          <w:sz w:val="20"/>
          <w:szCs w:val="20"/>
        </w:rPr>
        <w:t>T</w:t>
      </w:r>
      <w:r w:rsidRPr="00EC4D09">
        <w:rPr>
          <w:rFonts w:ascii="ITC Bookman" w:hAnsi="ITC Bookman"/>
          <w:sz w:val="20"/>
          <w:szCs w:val="20"/>
        </w:rPr>
        <w:t>ime-series of monthly O</w:t>
      </w:r>
      <w:r w:rsidRPr="00EC4D09">
        <w:rPr>
          <w:rFonts w:ascii="ITC Bookman" w:hAnsi="ITC Bookman"/>
          <w:sz w:val="20"/>
          <w:szCs w:val="20"/>
          <w:vertAlign w:val="subscript"/>
        </w:rPr>
        <w:t>3</w:t>
      </w:r>
      <w:r w:rsidRPr="00EC4D09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 w:rsidR="00EC4D09">
        <w:rPr>
          <w:rFonts w:ascii="ITC Bookman" w:hAnsi="ITC Bookman"/>
          <w:sz w:val="20"/>
          <w:szCs w:val="20"/>
        </w:rPr>
        <w:t xml:space="preserve"> for JFJ</w:t>
      </w:r>
      <w:r w:rsidRPr="00EC4D09">
        <w:rPr>
          <w:rFonts w:ascii="ITC Bookman" w:hAnsi="ITC Bookman"/>
          <w:sz w:val="20"/>
          <w:szCs w:val="20"/>
        </w:rPr>
        <w:t xml:space="preserve">. </w:t>
      </w:r>
      <w:r w:rsidR="00073AC3">
        <w:rPr>
          <w:rFonts w:ascii="ITC Bookman" w:hAnsi="ITC Bookman"/>
          <w:sz w:val="20"/>
          <w:szCs w:val="20"/>
        </w:rPr>
        <w:t xml:space="preserve">Robust </w:t>
      </w:r>
      <w:r w:rsidRPr="00EC4D09">
        <w:rPr>
          <w:rFonts w:ascii="ITC Bookman" w:hAnsi="ITC Bookman"/>
          <w:sz w:val="20"/>
          <w:szCs w:val="20"/>
        </w:rPr>
        <w:t>STL has been run by replacing the seasonal smoothing by taking the mean seasonal cycle (left) and by setting the seasonal smoothing parameter t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=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7 (</w:t>
      </w:r>
      <w:r w:rsidR="002470DA">
        <w:rPr>
          <w:rFonts w:ascii="ITC Bookman" w:hAnsi="ITC Bookman"/>
          <w:sz w:val="20"/>
          <w:szCs w:val="20"/>
        </w:rPr>
        <w:t>right</w:t>
      </w:r>
      <w:r w:rsidRPr="00EC4D09">
        <w:rPr>
          <w:rFonts w:ascii="ITC Bookman" w:hAnsi="ITC Bookman"/>
          <w:sz w:val="20"/>
          <w:szCs w:val="20"/>
        </w:rPr>
        <w:t xml:space="preserve">). </w:t>
      </w:r>
      <w:r w:rsidR="00EC4D09">
        <w:rPr>
          <w:rFonts w:ascii="ITC Bookman" w:hAnsi="ITC Bookman"/>
          <w:sz w:val="20"/>
          <w:szCs w:val="20"/>
        </w:rPr>
        <w:t>The red crosses denotes points identified as “outliers”.</w:t>
      </w:r>
    </w:p>
    <w:p w14:paraId="3E40FB35" w14:textId="5DF1E8C8" w:rsidR="00432CAA" w:rsidRDefault="00432CAA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4CD414F9" w14:textId="5115E982" w:rsidR="00432CAA" w:rsidRDefault="00432CAA" w:rsidP="00432CAA">
      <w:pPr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noProof/>
          <w:sz w:val="20"/>
          <w:szCs w:val="20"/>
        </w:rPr>
        <w:lastRenderedPageBreak/>
        <w:drawing>
          <wp:inline distT="0" distB="0" distL="0" distR="0" wp14:anchorId="50AC078D" wp14:editId="76F267CA">
            <wp:extent cx="6332220" cy="5030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UG_NOTROBUST_STL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1"/>
                    <a:stretch/>
                  </pic:blipFill>
                  <pic:spPr bwMode="auto">
                    <a:xfrm>
                      <a:off x="0" y="0"/>
                      <a:ext cx="6332220" cy="503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ECE0E" w14:textId="5A6BA1CA" w:rsidR="00432CAA" w:rsidRPr="0072396B" w:rsidRDefault="00432CAA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72396B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8</w:t>
      </w:r>
      <w:r w:rsidRPr="0072396B">
        <w:rPr>
          <w:rFonts w:ascii="ITC Bookman" w:hAnsi="ITC Bookman"/>
          <w:b/>
          <w:sz w:val="20"/>
          <w:szCs w:val="20"/>
        </w:rPr>
        <w:t>.</w:t>
      </w:r>
      <w:r w:rsidRPr="0072396B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Not robust STL decomposition for ZUG/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>. Time</w:t>
      </w:r>
      <w:r w:rsidRPr="0072396B">
        <w:rPr>
          <w:rFonts w:ascii="ITC Bookman" w:hAnsi="ITC Bookman"/>
          <w:sz w:val="20"/>
          <w:szCs w:val="20"/>
        </w:rPr>
        <w:t>-series of monthly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72396B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JFJ</w:t>
      </w:r>
      <w:r w:rsidRPr="0072396B">
        <w:rPr>
          <w:rFonts w:ascii="ITC Bookman" w:hAnsi="ITC Bookman"/>
          <w:sz w:val="20"/>
          <w:szCs w:val="20"/>
        </w:rPr>
        <w:t xml:space="preserve">. </w:t>
      </w:r>
      <w:r>
        <w:rPr>
          <w:rFonts w:ascii="ITC Bookman" w:hAnsi="ITC Bookman"/>
          <w:sz w:val="20"/>
          <w:szCs w:val="20"/>
        </w:rPr>
        <w:t>ZUG/</w:t>
      </w:r>
      <w:r w:rsidR="007427E7">
        <w:rPr>
          <w:rFonts w:ascii="ITC Bookman" w:hAnsi="ITC Bookman"/>
          <w:sz w:val="20"/>
          <w:szCs w:val="20"/>
        </w:rPr>
        <w:t>ZSF</w:t>
      </w:r>
      <w:r w:rsidRPr="0072396B">
        <w:rPr>
          <w:rFonts w:ascii="ITC Bookman" w:hAnsi="ITC Bookman"/>
          <w:sz w:val="20"/>
          <w:szCs w:val="20"/>
        </w:rPr>
        <w:t xml:space="preserve"> has been run by replacing the seasonal smoothing by taking the mean seasonal cycle (left) and by setting the seas</w:t>
      </w:r>
      <w:r>
        <w:rPr>
          <w:rFonts w:ascii="ITC Bookman" w:hAnsi="ITC Bookman"/>
          <w:sz w:val="20"/>
          <w:szCs w:val="20"/>
        </w:rPr>
        <w:t>onal smoothing parameter t = 7 (right</w:t>
      </w:r>
      <w:r w:rsidRPr="0072396B">
        <w:rPr>
          <w:rFonts w:ascii="ITC Bookman" w:hAnsi="ITC Bookman"/>
          <w:sz w:val="20"/>
          <w:szCs w:val="20"/>
        </w:rPr>
        <w:t xml:space="preserve">). </w:t>
      </w:r>
    </w:p>
    <w:p w14:paraId="4A13BDD6" w14:textId="77777777" w:rsidR="00432CAA" w:rsidRDefault="00432CAA" w:rsidP="00432CAA">
      <w:pPr>
        <w:rPr>
          <w:rFonts w:ascii="ITC Bookman" w:hAnsi="ITC Bookman" w:cs="Times New Roman"/>
          <w:sz w:val="20"/>
          <w:szCs w:val="20"/>
        </w:rPr>
      </w:pPr>
    </w:p>
    <w:p w14:paraId="726690E8" w14:textId="3923842D" w:rsidR="00432CAA" w:rsidRDefault="00432CAA" w:rsidP="00432CAA">
      <w:pPr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noProof/>
          <w:sz w:val="20"/>
          <w:szCs w:val="20"/>
        </w:rPr>
        <w:lastRenderedPageBreak/>
        <w:drawing>
          <wp:inline distT="0" distB="0" distL="0" distR="0" wp14:anchorId="22929508" wp14:editId="195D5D7B">
            <wp:extent cx="6332220" cy="51409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UG_ROBUST_STL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7"/>
                    <a:stretch/>
                  </pic:blipFill>
                  <pic:spPr bwMode="auto">
                    <a:xfrm>
                      <a:off x="0" y="0"/>
                      <a:ext cx="6332220" cy="514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1F24C" w14:textId="22BE93EC" w:rsidR="00432CAA" w:rsidRPr="00EC4D09" w:rsidRDefault="00432CAA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EC4D09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9</w:t>
      </w:r>
      <w:r w:rsidRPr="00EC4D09">
        <w:rPr>
          <w:rFonts w:ascii="ITC Bookman" w:hAnsi="ITC Bookman"/>
          <w:b/>
          <w:sz w:val="20"/>
          <w:szCs w:val="20"/>
        </w:rPr>
        <w:t>.</w:t>
      </w:r>
      <w:r w:rsidRPr="00EC4D09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Robust STL decomposition for ZUG/</w:t>
      </w:r>
      <w:r w:rsidR="007427E7">
        <w:rPr>
          <w:rFonts w:ascii="ITC Bookman" w:hAnsi="ITC Bookman"/>
          <w:sz w:val="20"/>
          <w:szCs w:val="20"/>
        </w:rPr>
        <w:t>ZSF</w:t>
      </w:r>
      <w:r>
        <w:rPr>
          <w:rFonts w:ascii="ITC Bookman" w:hAnsi="ITC Bookman"/>
          <w:sz w:val="20"/>
          <w:szCs w:val="20"/>
        </w:rPr>
        <w:t>.</w:t>
      </w:r>
      <w:r w:rsidR="001D4C5D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T</w:t>
      </w:r>
      <w:r w:rsidRPr="00EC4D09">
        <w:rPr>
          <w:rFonts w:ascii="ITC Bookman" w:hAnsi="ITC Bookman"/>
          <w:sz w:val="20"/>
          <w:szCs w:val="20"/>
        </w:rPr>
        <w:t>ime-series of monthly O</w:t>
      </w:r>
      <w:r w:rsidRPr="00EC4D09">
        <w:rPr>
          <w:rFonts w:ascii="ITC Bookman" w:hAnsi="ITC Bookman"/>
          <w:sz w:val="20"/>
          <w:szCs w:val="20"/>
          <w:vertAlign w:val="subscript"/>
        </w:rPr>
        <w:t>3</w:t>
      </w:r>
      <w:r w:rsidRPr="00EC4D09">
        <w:rPr>
          <w:rFonts w:ascii="ITC Bookman" w:hAnsi="ITC Bookman"/>
          <w:sz w:val="20"/>
          <w:szCs w:val="20"/>
        </w:rPr>
        <w:t xml:space="preserve"> averages (“data”), seasonal component (“seasonal”), Loess smoothing (“trend”) and residuals (“reminder)</w:t>
      </w:r>
      <w:r>
        <w:rPr>
          <w:rFonts w:ascii="ITC Bookman" w:hAnsi="ITC Bookman"/>
          <w:sz w:val="20"/>
          <w:szCs w:val="20"/>
        </w:rPr>
        <w:t xml:space="preserve"> for ZUG/</w:t>
      </w:r>
      <w:r w:rsidR="007427E7">
        <w:rPr>
          <w:rFonts w:ascii="ITC Bookman" w:hAnsi="ITC Bookman"/>
          <w:sz w:val="20"/>
          <w:szCs w:val="20"/>
        </w:rPr>
        <w:t>ZSF</w:t>
      </w:r>
      <w:r w:rsidRPr="00EC4D09">
        <w:rPr>
          <w:rFonts w:ascii="ITC Bookman" w:hAnsi="ITC Bookman"/>
          <w:sz w:val="20"/>
          <w:szCs w:val="20"/>
        </w:rPr>
        <w:t xml:space="preserve">. </w:t>
      </w:r>
      <w:r>
        <w:rPr>
          <w:rFonts w:ascii="ITC Bookman" w:hAnsi="ITC Bookman"/>
          <w:sz w:val="20"/>
          <w:szCs w:val="20"/>
        </w:rPr>
        <w:t xml:space="preserve">Robust </w:t>
      </w:r>
      <w:r w:rsidRPr="00EC4D09">
        <w:rPr>
          <w:rFonts w:ascii="ITC Bookman" w:hAnsi="ITC Bookman"/>
          <w:sz w:val="20"/>
          <w:szCs w:val="20"/>
        </w:rPr>
        <w:t>STL has been run by replacing the seasonal smoothing by taking the mean seasonal cycle (left) and by setting the seasonal smoothing parameter t</w:t>
      </w:r>
      <w:r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=</w:t>
      </w:r>
      <w:r>
        <w:rPr>
          <w:rFonts w:ascii="ITC Bookman" w:hAnsi="ITC Bookman"/>
          <w:sz w:val="20"/>
          <w:szCs w:val="20"/>
        </w:rPr>
        <w:t xml:space="preserve"> </w:t>
      </w:r>
      <w:r w:rsidRPr="00EC4D09">
        <w:rPr>
          <w:rFonts w:ascii="ITC Bookman" w:hAnsi="ITC Bookman"/>
          <w:sz w:val="20"/>
          <w:szCs w:val="20"/>
        </w:rPr>
        <w:t>7 (</w:t>
      </w:r>
      <w:r>
        <w:rPr>
          <w:rFonts w:ascii="ITC Bookman" w:hAnsi="ITC Bookman"/>
          <w:sz w:val="20"/>
          <w:szCs w:val="20"/>
        </w:rPr>
        <w:t>right</w:t>
      </w:r>
      <w:r w:rsidRPr="00EC4D09">
        <w:rPr>
          <w:rFonts w:ascii="ITC Bookman" w:hAnsi="ITC Bookman"/>
          <w:sz w:val="20"/>
          <w:szCs w:val="20"/>
        </w:rPr>
        <w:t xml:space="preserve">). </w:t>
      </w:r>
      <w:r>
        <w:rPr>
          <w:rFonts w:ascii="ITC Bookman" w:hAnsi="ITC Bookman"/>
          <w:sz w:val="20"/>
          <w:szCs w:val="20"/>
        </w:rPr>
        <w:t>The red crosses denotes points identified as “outliers”.</w:t>
      </w:r>
    </w:p>
    <w:p w14:paraId="247C3A44" w14:textId="77777777" w:rsidR="00432CAA" w:rsidRPr="00EC4D09" w:rsidRDefault="00432CAA" w:rsidP="00EC4D09">
      <w:pPr>
        <w:spacing w:after="240"/>
        <w:jc w:val="both"/>
        <w:rPr>
          <w:rFonts w:ascii="ITC Bookman" w:hAnsi="ITC Bookman"/>
          <w:sz w:val="20"/>
          <w:szCs w:val="20"/>
        </w:rPr>
      </w:pPr>
    </w:p>
    <w:p w14:paraId="74CEB005" w14:textId="27FDD968" w:rsidR="001D280C" w:rsidRDefault="001D280C">
      <w:pPr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sz w:val="20"/>
          <w:szCs w:val="20"/>
        </w:rPr>
        <w:br w:type="page"/>
      </w:r>
    </w:p>
    <w:p w14:paraId="55C528F7" w14:textId="77777777" w:rsidR="001D280C" w:rsidRDefault="001D280C" w:rsidP="001D280C">
      <w:pPr>
        <w:spacing w:after="0"/>
        <w:jc w:val="both"/>
        <w:rPr>
          <w:rFonts w:cs="Times New Roman"/>
          <w:sz w:val="24"/>
        </w:rPr>
      </w:pPr>
      <w:r>
        <w:rPr>
          <w:rFonts w:cs="Times New Roman"/>
          <w:noProof/>
          <w:sz w:val="24"/>
        </w:rPr>
        <w:lastRenderedPageBreak/>
        <w:drawing>
          <wp:inline distT="0" distB="0" distL="0" distR="0" wp14:anchorId="71F33E0A" wp14:editId="1B9FFE92">
            <wp:extent cx="6332220" cy="35102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MN_artificia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14F8" w14:textId="3BD8A7F8" w:rsidR="001D280C" w:rsidRPr="001D280C" w:rsidRDefault="001D280C" w:rsidP="001D280C">
      <w:pPr>
        <w:spacing w:after="240"/>
        <w:jc w:val="both"/>
        <w:rPr>
          <w:rFonts w:ascii="ITC Bookman" w:hAnsi="ITC Bookman"/>
          <w:sz w:val="20"/>
          <w:szCs w:val="20"/>
        </w:rPr>
      </w:pPr>
      <w:r w:rsidRPr="001D280C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10</w:t>
      </w:r>
      <w:r w:rsidRPr="001D280C">
        <w:rPr>
          <w:rFonts w:ascii="ITC Bookman" w:hAnsi="ITC Bookman"/>
          <w:sz w:val="20"/>
          <w:szCs w:val="20"/>
        </w:rPr>
        <w:t>. Artificial O</w:t>
      </w:r>
      <w:r w:rsidRPr="001D280C">
        <w:rPr>
          <w:rFonts w:ascii="ITC Bookman" w:hAnsi="ITC Bookman"/>
          <w:sz w:val="20"/>
          <w:szCs w:val="20"/>
          <w:vertAlign w:val="subscript"/>
        </w:rPr>
        <w:t>3</w:t>
      </w:r>
      <w:r w:rsidRPr="001D280C">
        <w:rPr>
          <w:rFonts w:ascii="ITC Bookman" w:hAnsi="ITC Bookman"/>
          <w:sz w:val="20"/>
          <w:szCs w:val="20"/>
        </w:rPr>
        <w:t xml:space="preserve"> time series at CMN. The period of the “persistent” O</w:t>
      </w:r>
      <w:r w:rsidRPr="001D280C">
        <w:rPr>
          <w:rFonts w:ascii="ITC Bookman" w:hAnsi="ITC Bookman"/>
          <w:sz w:val="20"/>
          <w:szCs w:val="20"/>
          <w:vertAlign w:val="subscript"/>
        </w:rPr>
        <w:t>3</w:t>
      </w:r>
      <w:r w:rsidRPr="001D280C">
        <w:rPr>
          <w:rFonts w:ascii="ITC Bookman" w:hAnsi="ITC Bookman"/>
          <w:sz w:val="20"/>
          <w:szCs w:val="20"/>
        </w:rPr>
        <w:t xml:space="preserve"> episodes (orange shaded area) was substituted with an artificial time series obtained by applying the “robust” periodic STL decomposition to the original monthly O</w:t>
      </w:r>
      <w:r w:rsidRPr="001D280C">
        <w:rPr>
          <w:rFonts w:ascii="ITC Bookman" w:hAnsi="ITC Bookman"/>
          <w:sz w:val="20"/>
          <w:szCs w:val="20"/>
          <w:vertAlign w:val="subscript"/>
        </w:rPr>
        <w:t>3</w:t>
      </w:r>
      <w:r w:rsidRPr="001D280C">
        <w:rPr>
          <w:rFonts w:ascii="ITC Bookman" w:hAnsi="ITC Bookman"/>
          <w:sz w:val="20"/>
          <w:szCs w:val="20"/>
        </w:rPr>
        <w:t xml:space="preserve"> time series.  </w:t>
      </w:r>
    </w:p>
    <w:p w14:paraId="508A346F" w14:textId="49B93219" w:rsidR="001D280C" w:rsidRDefault="001D280C">
      <w:pPr>
        <w:rPr>
          <w:rFonts w:ascii="ITC Bookman" w:hAnsi="ITC Bookman" w:cs="Times New Roman"/>
          <w:sz w:val="20"/>
          <w:szCs w:val="20"/>
        </w:rPr>
      </w:pPr>
      <w:r>
        <w:rPr>
          <w:rFonts w:ascii="ITC Bookman" w:hAnsi="ITC Bookman" w:cs="Times New Roman"/>
          <w:sz w:val="20"/>
          <w:szCs w:val="20"/>
        </w:rPr>
        <w:br w:type="page"/>
      </w:r>
    </w:p>
    <w:p w14:paraId="452FE61D" w14:textId="77777777" w:rsidR="00173D61" w:rsidRDefault="00173D61" w:rsidP="00173D61">
      <w:pPr>
        <w:spacing w:after="0"/>
        <w:jc w:val="center"/>
        <w:rPr>
          <w:rFonts w:ascii="ITC Bookman" w:hAnsi="ITC Bookman"/>
          <w:b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lastRenderedPageBreak/>
        <w:drawing>
          <wp:inline distT="0" distB="0" distL="0" distR="0" wp14:anchorId="4EFE3CEB" wp14:editId="0A73E11C">
            <wp:extent cx="6332220" cy="3229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PLOT_DJF_ALL_ST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9C70" w14:textId="244DF1ED" w:rsidR="00173D61" w:rsidRDefault="00173D6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11</w:t>
      </w:r>
      <w:r w:rsidRPr="009707A6">
        <w:rPr>
          <w:rFonts w:ascii="ITC Bookman" w:hAnsi="ITC Bookman"/>
          <w:b/>
          <w:sz w:val="20"/>
          <w:szCs w:val="20"/>
        </w:rPr>
        <w:t>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(DJF 1996 – 2016).</w:t>
      </w:r>
      <w:r w:rsidRPr="00173D61">
        <w:rPr>
          <w:rFonts w:ascii="ITC Bookman" w:hAnsi="ITC Bookman"/>
          <w:sz w:val="20"/>
          <w:szCs w:val="20"/>
        </w:rPr>
        <w:t xml:space="preserve"> The shape of ellipses provides a visual representation of the scatter plot for each couple of variables, the numbers and the colour code give representation of the R value (green: negative slope of correlation, red: positive slope of correlation).</w:t>
      </w:r>
      <w:r w:rsidRPr="00694326">
        <w:rPr>
          <w:rFonts w:ascii="ITC Bookman" w:hAnsi="ITC Bookman"/>
          <w:sz w:val="20"/>
          <w:szCs w:val="20"/>
        </w:rPr>
        <w:t xml:space="preserve"> </w:t>
      </w:r>
    </w:p>
    <w:p w14:paraId="2D00B076" w14:textId="2A7C2BDC" w:rsidR="00173D61" w:rsidRDefault="00173D61" w:rsidP="00173D61">
      <w:pPr>
        <w:spacing w:after="240"/>
        <w:jc w:val="both"/>
        <w:rPr>
          <w:rFonts w:ascii="ITC Bookman" w:hAnsi="ITC Bookman"/>
          <w:sz w:val="20"/>
          <w:szCs w:val="20"/>
        </w:rPr>
      </w:pPr>
    </w:p>
    <w:p w14:paraId="78AB7088" w14:textId="77777777" w:rsidR="00173D61" w:rsidRDefault="00173D61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6878BB6F" w14:textId="77777777" w:rsidR="00B64B4F" w:rsidRDefault="00B64B4F">
      <w:pPr>
        <w:rPr>
          <w:rFonts w:ascii="ITC Bookman" w:hAnsi="ITC Bookman"/>
          <w:sz w:val="20"/>
          <w:szCs w:val="20"/>
        </w:rPr>
      </w:pPr>
    </w:p>
    <w:p w14:paraId="15B2D2AD" w14:textId="25D0F468" w:rsidR="00173D61" w:rsidRDefault="00173D61" w:rsidP="00173D61">
      <w:pPr>
        <w:spacing w:after="0"/>
        <w:jc w:val="center"/>
        <w:rPr>
          <w:rFonts w:ascii="ITC Bookman" w:hAnsi="ITC Bookman"/>
          <w:b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drawing>
          <wp:inline distT="0" distB="0" distL="0" distR="0" wp14:anchorId="01407779" wp14:editId="6E2B0A10">
            <wp:extent cx="6332220" cy="32296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RPLOT_MAM_ALL_ST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E4A2" w14:textId="547073BB" w:rsidR="00173D61" w:rsidRDefault="00173D61" w:rsidP="00173D61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12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(MAM 1996 – 2016).</w:t>
      </w:r>
      <w:r w:rsidRPr="00173D61">
        <w:rPr>
          <w:rFonts w:ascii="ITC Bookman" w:hAnsi="ITC Bookman"/>
          <w:sz w:val="20"/>
          <w:szCs w:val="20"/>
        </w:rPr>
        <w:t xml:space="preserve"> </w:t>
      </w:r>
    </w:p>
    <w:p w14:paraId="6F77CDA6" w14:textId="03F21366" w:rsidR="00173D61" w:rsidRPr="00694326" w:rsidRDefault="00173D61" w:rsidP="00173D61">
      <w:pPr>
        <w:spacing w:after="240"/>
        <w:jc w:val="both"/>
        <w:rPr>
          <w:rFonts w:ascii="ITC Bookman" w:hAnsi="ITC Bookman"/>
          <w:sz w:val="20"/>
          <w:szCs w:val="20"/>
        </w:rPr>
      </w:pPr>
      <w:r w:rsidRPr="00173D61">
        <w:rPr>
          <w:rFonts w:ascii="ITC Bookman" w:hAnsi="ITC Bookman"/>
          <w:sz w:val="20"/>
          <w:szCs w:val="20"/>
        </w:rPr>
        <w:t>The shape of ellipses provides a visual representation of the scatter plot for each couple of variables, the numbers and the colour code give representation of the R value (green: negative slope of correlation, red: positive slope of correlation).</w:t>
      </w:r>
      <w:r w:rsidRPr="00694326">
        <w:rPr>
          <w:rFonts w:ascii="ITC Bookman" w:hAnsi="ITC Bookman"/>
          <w:sz w:val="20"/>
          <w:szCs w:val="20"/>
        </w:rPr>
        <w:t xml:space="preserve"> </w:t>
      </w:r>
    </w:p>
    <w:p w14:paraId="5DD0FCC0" w14:textId="77777777" w:rsidR="00B64B4F" w:rsidRDefault="00B64B4F" w:rsidP="00173D61">
      <w:pPr>
        <w:spacing w:after="0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150C17CA" w14:textId="42C5D5A8" w:rsidR="00173D61" w:rsidRDefault="00173D61" w:rsidP="00173D61">
      <w:pPr>
        <w:spacing w:after="0"/>
        <w:jc w:val="center"/>
        <w:rPr>
          <w:rFonts w:ascii="ITC Bookman" w:hAnsi="ITC Bookman"/>
          <w:b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lastRenderedPageBreak/>
        <w:drawing>
          <wp:inline distT="0" distB="0" distL="0" distR="0" wp14:anchorId="3AA25CEE" wp14:editId="625B17E2">
            <wp:extent cx="6332220" cy="32296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RPLOT_JJA_ALL_ST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EB6F" w14:textId="77777777" w:rsidR="00E41DC9" w:rsidRDefault="00E41DC9" w:rsidP="005C53E0">
      <w:pPr>
        <w:spacing w:after="0"/>
        <w:jc w:val="both"/>
        <w:rPr>
          <w:rFonts w:ascii="ITC Bookman" w:hAnsi="ITC Bookman"/>
          <w:b/>
          <w:sz w:val="20"/>
          <w:szCs w:val="20"/>
        </w:rPr>
      </w:pPr>
    </w:p>
    <w:p w14:paraId="7FAA6DBD" w14:textId="77777777" w:rsidR="00E41DC9" w:rsidRDefault="00E41DC9" w:rsidP="005C53E0">
      <w:pPr>
        <w:spacing w:after="0"/>
        <w:jc w:val="both"/>
        <w:rPr>
          <w:rFonts w:ascii="ITC Bookman" w:hAnsi="ITC Bookman"/>
          <w:b/>
          <w:sz w:val="20"/>
          <w:szCs w:val="20"/>
        </w:rPr>
      </w:pPr>
    </w:p>
    <w:p w14:paraId="76D9732D" w14:textId="7049266E" w:rsidR="00173D61" w:rsidRDefault="00173D61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bookmarkStart w:id="0" w:name="_GoBack"/>
      <w:bookmarkEnd w:id="0"/>
      <w:r w:rsidRPr="009707A6">
        <w:rPr>
          <w:rFonts w:ascii="ITC Bookman" w:hAnsi="ITC Bookman"/>
          <w:b/>
          <w:sz w:val="20"/>
          <w:szCs w:val="20"/>
        </w:rPr>
        <w:t>Figure S</w:t>
      </w:r>
      <w:r w:rsidR="007C1C16">
        <w:rPr>
          <w:rFonts w:ascii="ITC Bookman" w:hAnsi="ITC Bookman"/>
          <w:b/>
          <w:sz w:val="20"/>
          <w:szCs w:val="20"/>
        </w:rPr>
        <w:t>13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(JJA 1996 – 2016).</w:t>
      </w:r>
      <w:r w:rsidRPr="00173D61">
        <w:rPr>
          <w:rFonts w:ascii="ITC Bookman" w:hAnsi="ITC Bookman"/>
          <w:sz w:val="20"/>
          <w:szCs w:val="20"/>
        </w:rPr>
        <w:t xml:space="preserve"> The shape of ellipses provides a visual representation of the scatter plot for each couple of variables, the numbers and the colour code give representation of the R value (green: negative slope of correlation, red: positive slope of correlation).</w:t>
      </w:r>
      <w:r w:rsidRPr="00694326">
        <w:rPr>
          <w:rFonts w:ascii="ITC Bookman" w:hAnsi="ITC Bookman"/>
          <w:sz w:val="20"/>
          <w:szCs w:val="20"/>
        </w:rPr>
        <w:t xml:space="preserve"> </w:t>
      </w:r>
    </w:p>
    <w:p w14:paraId="59A11CF7" w14:textId="77777777" w:rsidR="00173D61" w:rsidRDefault="00173D61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35054514" w14:textId="77777777" w:rsidR="00B64B4F" w:rsidRDefault="00B64B4F">
      <w:pPr>
        <w:rPr>
          <w:rFonts w:ascii="ITC Bookman" w:hAnsi="ITC Bookman"/>
          <w:sz w:val="20"/>
          <w:szCs w:val="20"/>
        </w:rPr>
      </w:pPr>
    </w:p>
    <w:p w14:paraId="725904F0" w14:textId="55BE7F34" w:rsidR="00173D61" w:rsidRDefault="00173D61" w:rsidP="00173D61">
      <w:pPr>
        <w:spacing w:after="0"/>
        <w:jc w:val="center"/>
        <w:rPr>
          <w:rFonts w:ascii="ITC Bookman" w:hAnsi="ITC Bookman"/>
          <w:b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drawing>
          <wp:inline distT="0" distB="0" distL="0" distR="0" wp14:anchorId="0822CB1B" wp14:editId="4A3B770C">
            <wp:extent cx="6332220" cy="32296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RPLOT_SON_ALL_ST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6C83" w14:textId="74717225" w:rsidR="00173D61" w:rsidRDefault="00173D61" w:rsidP="00173D61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 w:rsidR="00432CAA">
        <w:rPr>
          <w:rFonts w:ascii="ITC Bookman" w:hAnsi="ITC Bookman"/>
          <w:b/>
          <w:sz w:val="20"/>
          <w:szCs w:val="20"/>
        </w:rPr>
        <w:t>1</w:t>
      </w:r>
      <w:r w:rsidR="007C1C16">
        <w:rPr>
          <w:rFonts w:ascii="ITC Bookman" w:hAnsi="ITC Bookman"/>
          <w:b/>
          <w:sz w:val="20"/>
          <w:szCs w:val="20"/>
        </w:rPr>
        <w:t>4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Li</w:t>
      </w:r>
      <w:r w:rsidRPr="00173D61">
        <w:rPr>
          <w:rFonts w:ascii="ITC Bookman" w:hAnsi="ITC Bookman"/>
          <w:sz w:val="20"/>
          <w:szCs w:val="20"/>
        </w:rPr>
        <w:t xml:space="preserve">near correlation matrix between the seasonal </w:t>
      </w:r>
      <w:r w:rsidRPr="0072396B">
        <w:rPr>
          <w:rFonts w:ascii="Symbol" w:hAnsi="Symbol"/>
          <w:sz w:val="20"/>
          <w:szCs w:val="20"/>
        </w:rPr>
        <w:t>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>, O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3 </w:t>
      </w:r>
      <w:r w:rsidRPr="00173D61">
        <w:rPr>
          <w:rFonts w:ascii="ITC Bookman" w:hAnsi="ITC Bookman"/>
          <w:sz w:val="20"/>
          <w:szCs w:val="20"/>
        </w:rPr>
        <w:t>at CMN, 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at JFJ and the SRR</w:t>
      </w:r>
      <w:r w:rsidRPr="0072396B">
        <w:rPr>
          <w:rFonts w:ascii="ITC Bookman" w:hAnsi="ITC Bookman"/>
          <w:sz w:val="20"/>
          <w:szCs w:val="20"/>
          <w:vertAlign w:val="subscript"/>
        </w:rPr>
        <w:t>tot</w:t>
      </w:r>
      <w:r w:rsidRPr="00173D61">
        <w:rPr>
          <w:rFonts w:ascii="ITC Bookman" w:hAnsi="ITC Bookman"/>
          <w:sz w:val="20"/>
          <w:szCs w:val="20"/>
        </w:rPr>
        <w:t>/SRR</w:t>
      </w:r>
      <w:r w:rsidRPr="0072396B">
        <w:rPr>
          <w:rFonts w:ascii="ITC Bookman" w:hAnsi="ITC Bookman"/>
          <w:sz w:val="20"/>
          <w:szCs w:val="20"/>
          <w:vertAlign w:val="subscript"/>
        </w:rPr>
        <w:t xml:space="preserve">reg </w:t>
      </w:r>
      <w:r w:rsidRPr="00173D61">
        <w:rPr>
          <w:rFonts w:ascii="ITC Bookman" w:hAnsi="ITC Bookman"/>
          <w:sz w:val="20"/>
          <w:szCs w:val="20"/>
        </w:rPr>
        <w:t xml:space="preserve">values for the different </w:t>
      </w:r>
      <w:r>
        <w:rPr>
          <w:rFonts w:ascii="ITC Bookman" w:hAnsi="ITC Bookman"/>
          <w:sz w:val="20"/>
          <w:szCs w:val="20"/>
        </w:rPr>
        <w:t xml:space="preserve">source </w:t>
      </w:r>
      <w:r w:rsidRPr="00173D61">
        <w:rPr>
          <w:rFonts w:ascii="ITC Bookman" w:hAnsi="ITC Bookman"/>
          <w:sz w:val="20"/>
          <w:szCs w:val="20"/>
        </w:rPr>
        <w:t xml:space="preserve">regions at both the measurement sites </w:t>
      </w:r>
      <w:r>
        <w:rPr>
          <w:rFonts w:ascii="ITC Bookman" w:hAnsi="ITC Bookman"/>
          <w:sz w:val="20"/>
          <w:szCs w:val="20"/>
        </w:rPr>
        <w:t>(SON 1996 – 2016).</w:t>
      </w:r>
      <w:r w:rsidRPr="00173D61">
        <w:rPr>
          <w:rFonts w:ascii="ITC Bookman" w:hAnsi="ITC Bookman"/>
          <w:sz w:val="20"/>
          <w:szCs w:val="20"/>
        </w:rPr>
        <w:t xml:space="preserve"> </w:t>
      </w:r>
    </w:p>
    <w:p w14:paraId="3C92CB36" w14:textId="5686436B" w:rsidR="00173D61" w:rsidRDefault="00173D61" w:rsidP="00173D61">
      <w:pPr>
        <w:spacing w:after="240"/>
        <w:jc w:val="both"/>
        <w:rPr>
          <w:rFonts w:ascii="ITC Bookman" w:hAnsi="ITC Bookman"/>
          <w:sz w:val="20"/>
          <w:szCs w:val="20"/>
        </w:rPr>
      </w:pPr>
      <w:r w:rsidRPr="00173D61">
        <w:rPr>
          <w:rFonts w:ascii="ITC Bookman" w:hAnsi="ITC Bookman"/>
          <w:sz w:val="20"/>
          <w:szCs w:val="20"/>
        </w:rPr>
        <w:t>The shape of ellipses provides a visual representation of the scatter plot for each couple of variables, the numbers and the colour code give representation of the R value (green: negative slope of correlation, red: positive slope of correlation).</w:t>
      </w:r>
    </w:p>
    <w:p w14:paraId="76C439AD" w14:textId="77D54E50" w:rsidR="001770BC" w:rsidRDefault="001770BC" w:rsidP="007C1C16">
      <w:pPr>
        <w:jc w:val="center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  <w:r w:rsidR="000E1FA7">
        <w:rPr>
          <w:rFonts w:ascii="ITC Bookman" w:hAnsi="ITC Bookman"/>
          <w:noProof/>
          <w:sz w:val="20"/>
          <w:szCs w:val="20"/>
        </w:rPr>
        <w:lastRenderedPageBreak/>
        <w:drawing>
          <wp:inline distT="0" distB="0" distL="0" distR="0" wp14:anchorId="37A927AF" wp14:editId="7BFFF585">
            <wp:extent cx="5555832" cy="7408333"/>
            <wp:effectExtent l="0" t="0" r="698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_S15_rev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76" cy="74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9F69" w14:textId="6C30B944" w:rsidR="001770BC" w:rsidRDefault="001770BC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</w:t>
      </w:r>
      <w:r w:rsidR="007C1C16">
        <w:rPr>
          <w:rFonts w:ascii="ITC Bookman" w:hAnsi="ITC Bookman"/>
          <w:b/>
          <w:sz w:val="20"/>
          <w:szCs w:val="20"/>
        </w:rPr>
        <w:t>5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average monthly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values and monthly percentiles for the five “source” regions. </w:t>
      </w:r>
      <w:r w:rsidR="006B2E55">
        <w:rPr>
          <w:rFonts w:ascii="ITC Bookman" w:hAnsi="ITC Bookman"/>
          <w:sz w:val="20"/>
          <w:szCs w:val="20"/>
        </w:rPr>
        <w:t>Monthly mean values are reported by the green lines, monthly 5</w:t>
      </w:r>
      <w:r w:rsidR="006B2E55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6B2E55">
        <w:rPr>
          <w:rFonts w:ascii="ITC Bookman" w:hAnsi="ITC Bookman"/>
          <w:sz w:val="20"/>
          <w:szCs w:val="20"/>
        </w:rPr>
        <w:t xml:space="preserve"> percentiles by blue lines, 25</w:t>
      </w:r>
      <w:r w:rsidR="006B2E55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6B2E55">
        <w:rPr>
          <w:rFonts w:ascii="ITC Bookman" w:hAnsi="ITC Bookman"/>
          <w:sz w:val="20"/>
          <w:szCs w:val="20"/>
        </w:rPr>
        <w:t xml:space="preserve"> percentile</w:t>
      </w:r>
      <w:r w:rsidR="007C1C16">
        <w:rPr>
          <w:rFonts w:ascii="ITC Bookman" w:hAnsi="ITC Bookman"/>
          <w:sz w:val="20"/>
          <w:szCs w:val="20"/>
        </w:rPr>
        <w:t>s</w:t>
      </w:r>
      <w:r w:rsidR="006B2E55">
        <w:rPr>
          <w:rFonts w:ascii="ITC Bookman" w:hAnsi="ITC Bookman"/>
          <w:sz w:val="20"/>
          <w:szCs w:val="20"/>
        </w:rPr>
        <w:t xml:space="preserve"> </w:t>
      </w:r>
      <w:r w:rsidR="007C1C16">
        <w:rPr>
          <w:rFonts w:ascii="ITC Bookman" w:hAnsi="ITC Bookman"/>
          <w:sz w:val="20"/>
          <w:szCs w:val="20"/>
        </w:rPr>
        <w:t xml:space="preserve">by the </w:t>
      </w:r>
      <w:r w:rsidR="006B2E55">
        <w:rPr>
          <w:rFonts w:ascii="ITC Bookman" w:hAnsi="ITC Bookman"/>
          <w:sz w:val="20"/>
          <w:szCs w:val="20"/>
        </w:rPr>
        <w:t>cyan</w:t>
      </w:r>
      <w:r w:rsidR="007C1C16">
        <w:rPr>
          <w:rFonts w:ascii="ITC Bookman" w:hAnsi="ITC Bookman"/>
          <w:sz w:val="20"/>
          <w:szCs w:val="20"/>
        </w:rPr>
        <w:t xml:space="preserve"> lines</w:t>
      </w:r>
      <w:r w:rsidR="006B2E55">
        <w:rPr>
          <w:rFonts w:ascii="ITC Bookman" w:hAnsi="ITC Bookman"/>
          <w:sz w:val="20"/>
          <w:szCs w:val="20"/>
        </w:rPr>
        <w:t>, 75</w:t>
      </w:r>
      <w:r w:rsidR="006B2E55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6B2E55">
        <w:rPr>
          <w:rFonts w:ascii="ITC Bookman" w:hAnsi="ITC Bookman"/>
          <w:sz w:val="20"/>
          <w:szCs w:val="20"/>
        </w:rPr>
        <w:t xml:space="preserve"> percentile</w:t>
      </w:r>
      <w:r w:rsidR="007C1C16">
        <w:rPr>
          <w:rFonts w:ascii="ITC Bookman" w:hAnsi="ITC Bookman"/>
          <w:sz w:val="20"/>
          <w:szCs w:val="20"/>
        </w:rPr>
        <w:t>s</w:t>
      </w:r>
      <w:r w:rsidR="006B2E55">
        <w:rPr>
          <w:rFonts w:ascii="ITC Bookman" w:hAnsi="ITC Bookman"/>
          <w:sz w:val="20"/>
          <w:szCs w:val="20"/>
        </w:rPr>
        <w:t xml:space="preserve"> </w:t>
      </w:r>
      <w:r w:rsidR="007C1C16">
        <w:rPr>
          <w:rFonts w:ascii="ITC Bookman" w:hAnsi="ITC Bookman"/>
          <w:sz w:val="20"/>
          <w:szCs w:val="20"/>
        </w:rPr>
        <w:t xml:space="preserve">by the </w:t>
      </w:r>
      <w:r w:rsidR="006B2E55">
        <w:rPr>
          <w:rFonts w:ascii="ITC Bookman" w:hAnsi="ITC Bookman"/>
          <w:sz w:val="20"/>
          <w:szCs w:val="20"/>
        </w:rPr>
        <w:t>orange</w:t>
      </w:r>
      <w:r w:rsidR="007C1C16">
        <w:rPr>
          <w:rFonts w:ascii="ITC Bookman" w:hAnsi="ITC Bookman"/>
          <w:sz w:val="20"/>
          <w:szCs w:val="20"/>
        </w:rPr>
        <w:t xml:space="preserve"> lines</w:t>
      </w:r>
      <w:r w:rsidR="006B2E55">
        <w:rPr>
          <w:rFonts w:ascii="ITC Bookman" w:hAnsi="ITC Bookman"/>
          <w:sz w:val="20"/>
          <w:szCs w:val="20"/>
        </w:rPr>
        <w:t xml:space="preserve"> and 95</w:t>
      </w:r>
      <w:r w:rsidR="006B2E55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6B2E55">
        <w:rPr>
          <w:rFonts w:ascii="ITC Bookman" w:hAnsi="ITC Bookman"/>
          <w:sz w:val="20"/>
          <w:szCs w:val="20"/>
        </w:rPr>
        <w:t xml:space="preserve"> percentile</w:t>
      </w:r>
      <w:r w:rsidR="007C1C16">
        <w:rPr>
          <w:rFonts w:ascii="ITC Bookman" w:hAnsi="ITC Bookman"/>
          <w:sz w:val="20"/>
          <w:szCs w:val="20"/>
        </w:rPr>
        <w:t>s</w:t>
      </w:r>
      <w:r w:rsidR="006B2E55">
        <w:rPr>
          <w:rFonts w:ascii="ITC Bookman" w:hAnsi="ITC Bookman"/>
          <w:sz w:val="20"/>
          <w:szCs w:val="20"/>
        </w:rPr>
        <w:t xml:space="preserve"> </w:t>
      </w:r>
      <w:r w:rsidR="007C1C16">
        <w:rPr>
          <w:rFonts w:ascii="ITC Bookman" w:hAnsi="ITC Bookman"/>
          <w:sz w:val="20"/>
          <w:szCs w:val="20"/>
        </w:rPr>
        <w:t>by red lines</w:t>
      </w:r>
      <w:r w:rsidR="006B2E55">
        <w:rPr>
          <w:rFonts w:ascii="ITC Bookman" w:hAnsi="ITC Bookman"/>
          <w:sz w:val="20"/>
          <w:szCs w:val="20"/>
        </w:rPr>
        <w:t>.</w:t>
      </w:r>
    </w:p>
    <w:p w14:paraId="63235C46" w14:textId="77777777" w:rsidR="001770BC" w:rsidRDefault="001770BC" w:rsidP="001770BC">
      <w:pPr>
        <w:jc w:val="center"/>
        <w:rPr>
          <w:rFonts w:ascii="ITC Bookman" w:hAnsi="ITC Bookman"/>
          <w:sz w:val="20"/>
          <w:szCs w:val="20"/>
        </w:rPr>
      </w:pPr>
    </w:p>
    <w:p w14:paraId="798AEA8D" w14:textId="52F412D2" w:rsidR="001770BC" w:rsidRDefault="00295A35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noProof/>
          <w:sz w:val="20"/>
          <w:szCs w:val="20"/>
        </w:rPr>
        <w:drawing>
          <wp:inline distT="0" distB="0" distL="0" distR="0" wp14:anchorId="1B1E1B38" wp14:editId="2EB6DB21">
            <wp:extent cx="6913245" cy="66452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66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2E77C" w14:textId="35C2045A" w:rsidR="007C1C16" w:rsidRDefault="007C1C16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9707A6">
        <w:rPr>
          <w:rFonts w:ascii="ITC Bookman" w:hAnsi="ITC Bookman"/>
          <w:b/>
          <w:sz w:val="20"/>
          <w:szCs w:val="20"/>
        </w:rPr>
        <w:t>Figure S</w:t>
      </w:r>
      <w:r>
        <w:rPr>
          <w:rFonts w:ascii="ITC Bookman" w:hAnsi="ITC Bookman"/>
          <w:b/>
          <w:sz w:val="20"/>
          <w:szCs w:val="20"/>
        </w:rPr>
        <w:t>16</w:t>
      </w:r>
      <w:r w:rsidRPr="009707A6">
        <w:rPr>
          <w:rFonts w:ascii="ITC Bookman" w:hAnsi="ITC Bookman"/>
          <w:b/>
          <w:sz w:val="20"/>
          <w:szCs w:val="20"/>
        </w:rPr>
        <w:t>. Title.</w:t>
      </w:r>
      <w:r>
        <w:rPr>
          <w:rFonts w:ascii="ITC Bookman" w:hAnsi="ITC Bookman"/>
          <w:sz w:val="20"/>
          <w:szCs w:val="20"/>
        </w:rPr>
        <w:t xml:space="preserve"> Time series of seasonal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anomalies for the CWE “source</w:t>
      </w:r>
      <w:r w:rsidR="00985099">
        <w:rPr>
          <w:rFonts w:ascii="ITC Bookman" w:hAnsi="ITC Bookman"/>
          <w:sz w:val="20"/>
          <w:szCs w:val="20"/>
        </w:rPr>
        <w:t>”</w:t>
      </w:r>
      <w:r>
        <w:rPr>
          <w:rFonts w:ascii="ITC Bookman" w:hAnsi="ITC Bookman"/>
          <w:sz w:val="20"/>
          <w:szCs w:val="20"/>
        </w:rPr>
        <w:t xml:space="preserve"> region. Anomalies of </w:t>
      </w:r>
      <w:r w:rsidRPr="00173D61">
        <w:rPr>
          <w:rFonts w:ascii="ITC Bookman" w:hAnsi="ITC Bookman"/>
          <w:sz w:val="20"/>
          <w:szCs w:val="20"/>
        </w:rPr>
        <w:t>O</w:t>
      </w:r>
      <w:r w:rsidRPr="0072396B">
        <w:rPr>
          <w:rFonts w:ascii="ITC Bookman" w:hAnsi="ITC Bookman"/>
          <w:sz w:val="20"/>
          <w:szCs w:val="20"/>
          <w:vertAlign w:val="subscript"/>
        </w:rPr>
        <w:t>3</w:t>
      </w:r>
      <w:r w:rsidRPr="00173D61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 xml:space="preserve">mean </w:t>
      </w:r>
      <w:r w:rsidR="00985099">
        <w:rPr>
          <w:rFonts w:ascii="ITC Bookman" w:hAnsi="ITC Bookman"/>
          <w:sz w:val="20"/>
          <w:szCs w:val="20"/>
        </w:rPr>
        <w:t xml:space="preserve">seasonal </w:t>
      </w:r>
      <w:r>
        <w:rPr>
          <w:rFonts w:ascii="ITC Bookman" w:hAnsi="ITC Bookman"/>
          <w:sz w:val="20"/>
          <w:szCs w:val="20"/>
        </w:rPr>
        <w:t>values are reported by the green lines, monthly 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blue lines, 25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cyan lines, 75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the orange lines and 95</w:t>
      </w:r>
      <w:r w:rsidRPr="006B2E55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by red lines.</w:t>
      </w:r>
      <w:r w:rsidR="00985099">
        <w:rPr>
          <w:rFonts w:ascii="ITC Bookman" w:hAnsi="ITC Bookman"/>
          <w:sz w:val="20"/>
          <w:szCs w:val="20"/>
        </w:rPr>
        <w:t xml:space="preserve"> The orange shaded area denote the period of “persistent”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episodes at CMN.</w:t>
      </w:r>
    </w:p>
    <w:p w14:paraId="2233B061" w14:textId="6F2DBFBE" w:rsidR="001770BC" w:rsidRDefault="001770BC">
      <w:pPr>
        <w:rPr>
          <w:rFonts w:ascii="ITC Bookman" w:hAnsi="ITC Bookman"/>
          <w:sz w:val="20"/>
          <w:szCs w:val="20"/>
        </w:rPr>
      </w:pPr>
    </w:p>
    <w:p w14:paraId="7EC1DE36" w14:textId="77777777" w:rsidR="00295A35" w:rsidRDefault="00295A35" w:rsidP="005C53E0">
      <w:pPr>
        <w:spacing w:after="0"/>
        <w:jc w:val="both"/>
        <w:rPr>
          <w:rFonts w:ascii="ITC Bookman" w:hAnsi="ITC Bookman"/>
          <w:b/>
          <w:sz w:val="20"/>
          <w:szCs w:val="20"/>
        </w:rPr>
      </w:pPr>
    </w:p>
    <w:p w14:paraId="25DCD8D3" w14:textId="1E67F686" w:rsidR="00985099" w:rsidRDefault="00295A35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lastRenderedPageBreak/>
        <w:drawing>
          <wp:inline distT="0" distB="0" distL="0" distR="0" wp14:anchorId="368858D4" wp14:editId="73FF418F">
            <wp:extent cx="6913245" cy="69850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69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099" w:rsidRPr="009707A6">
        <w:rPr>
          <w:rFonts w:ascii="ITC Bookman" w:hAnsi="ITC Bookman"/>
          <w:b/>
          <w:sz w:val="20"/>
          <w:szCs w:val="20"/>
        </w:rPr>
        <w:t>Figure S</w:t>
      </w:r>
      <w:r w:rsidR="00985099">
        <w:rPr>
          <w:rFonts w:ascii="ITC Bookman" w:hAnsi="ITC Bookman"/>
          <w:b/>
          <w:sz w:val="20"/>
          <w:szCs w:val="20"/>
        </w:rPr>
        <w:t>17</w:t>
      </w:r>
      <w:r w:rsidR="00985099" w:rsidRPr="009707A6">
        <w:rPr>
          <w:rFonts w:ascii="ITC Bookman" w:hAnsi="ITC Bookman"/>
          <w:b/>
          <w:sz w:val="20"/>
          <w:szCs w:val="20"/>
        </w:rPr>
        <w:t>. Title.</w:t>
      </w:r>
      <w:r w:rsidR="00985099">
        <w:rPr>
          <w:rFonts w:ascii="ITC Bookman" w:hAnsi="ITC Bookman"/>
          <w:sz w:val="20"/>
          <w:szCs w:val="20"/>
        </w:rPr>
        <w:t xml:space="preserve"> Time series of seasonal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 xml:space="preserve">anomalies for the WE “source” region. Anomalies of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mean seasonal values are reported by the green lines, monthly 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blue lines, 25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cyan lines, 75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orange lines and 95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episodes at CMN.</w:t>
      </w:r>
    </w:p>
    <w:p w14:paraId="5676AAA5" w14:textId="77777777" w:rsidR="00295A35" w:rsidRDefault="00295A35" w:rsidP="005C53E0">
      <w:pPr>
        <w:spacing w:after="0"/>
        <w:jc w:val="both"/>
        <w:rPr>
          <w:rFonts w:ascii="ITC Bookman" w:hAnsi="ITC Bookman"/>
          <w:sz w:val="20"/>
          <w:szCs w:val="20"/>
        </w:rPr>
      </w:pPr>
    </w:p>
    <w:p w14:paraId="0D2F3ED5" w14:textId="15692FD3" w:rsidR="001770BC" w:rsidRDefault="001770BC">
      <w:pPr>
        <w:rPr>
          <w:rFonts w:ascii="ITC Bookman" w:hAnsi="ITC Bookman"/>
          <w:sz w:val="20"/>
          <w:szCs w:val="20"/>
        </w:rPr>
      </w:pPr>
    </w:p>
    <w:p w14:paraId="1C142D75" w14:textId="790186C5" w:rsidR="00985099" w:rsidRDefault="00295A35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lastRenderedPageBreak/>
        <w:drawing>
          <wp:inline distT="0" distB="0" distL="0" distR="0" wp14:anchorId="34CDFC13" wp14:editId="4A8D8FCD">
            <wp:extent cx="6913245" cy="6572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099" w:rsidRPr="009707A6">
        <w:rPr>
          <w:rFonts w:ascii="ITC Bookman" w:hAnsi="ITC Bookman"/>
          <w:b/>
          <w:sz w:val="20"/>
          <w:szCs w:val="20"/>
        </w:rPr>
        <w:t>Figure S</w:t>
      </w:r>
      <w:r w:rsidR="00985099">
        <w:rPr>
          <w:rFonts w:ascii="ITC Bookman" w:hAnsi="ITC Bookman"/>
          <w:b/>
          <w:sz w:val="20"/>
          <w:szCs w:val="20"/>
        </w:rPr>
        <w:t>18</w:t>
      </w:r>
      <w:r w:rsidR="00985099" w:rsidRPr="009707A6">
        <w:rPr>
          <w:rFonts w:ascii="ITC Bookman" w:hAnsi="ITC Bookman"/>
          <w:b/>
          <w:sz w:val="20"/>
          <w:szCs w:val="20"/>
        </w:rPr>
        <w:t>. Title.</w:t>
      </w:r>
      <w:r w:rsidR="00985099">
        <w:rPr>
          <w:rFonts w:ascii="ITC Bookman" w:hAnsi="ITC Bookman"/>
          <w:sz w:val="20"/>
          <w:szCs w:val="20"/>
        </w:rPr>
        <w:t xml:space="preserve"> Time series of seasonal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 xml:space="preserve">anomalies for the CEE “source” region. Anomalies of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mean seasonal values are reported by the green lines, monthly 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blue lines, 25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cyan lines, 75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orange lines and 95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episodes at CMN.</w:t>
      </w:r>
    </w:p>
    <w:p w14:paraId="79B772D6" w14:textId="4A9C24DC" w:rsidR="001770BC" w:rsidRDefault="00073AC3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br w:type="page"/>
      </w:r>
    </w:p>
    <w:p w14:paraId="4460C90C" w14:textId="1C8C9DE2" w:rsidR="00985099" w:rsidRDefault="00295A35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lastRenderedPageBreak/>
        <w:drawing>
          <wp:inline distT="0" distB="0" distL="0" distR="0" wp14:anchorId="64A30B7A" wp14:editId="043586D9">
            <wp:extent cx="6913245" cy="66452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66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099" w:rsidRPr="009707A6">
        <w:rPr>
          <w:rFonts w:ascii="ITC Bookman" w:hAnsi="ITC Bookman"/>
          <w:b/>
          <w:sz w:val="20"/>
          <w:szCs w:val="20"/>
        </w:rPr>
        <w:t>Figure S</w:t>
      </w:r>
      <w:r w:rsidR="00985099">
        <w:rPr>
          <w:rFonts w:ascii="ITC Bookman" w:hAnsi="ITC Bookman"/>
          <w:b/>
          <w:sz w:val="20"/>
          <w:szCs w:val="20"/>
        </w:rPr>
        <w:t>19</w:t>
      </w:r>
      <w:r w:rsidR="00985099" w:rsidRPr="009707A6">
        <w:rPr>
          <w:rFonts w:ascii="ITC Bookman" w:hAnsi="ITC Bookman"/>
          <w:b/>
          <w:sz w:val="20"/>
          <w:szCs w:val="20"/>
        </w:rPr>
        <w:t>. Title.</w:t>
      </w:r>
      <w:r w:rsidR="00985099">
        <w:rPr>
          <w:rFonts w:ascii="ITC Bookman" w:hAnsi="ITC Bookman"/>
          <w:sz w:val="20"/>
          <w:szCs w:val="20"/>
        </w:rPr>
        <w:t xml:space="preserve"> Time series of seasonal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 xml:space="preserve">anomalies for the NI “source” region. Anomalies of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mean seasonal values are reported by the green lines, monthly 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blue lines, 25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cyan lines, 75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orange lines and 95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episodes at CMN.</w:t>
      </w:r>
    </w:p>
    <w:p w14:paraId="65CC90A5" w14:textId="5991B3FA" w:rsidR="001770BC" w:rsidRDefault="001770BC">
      <w:pPr>
        <w:rPr>
          <w:rFonts w:ascii="ITC Bookman" w:hAnsi="ITC Bookman"/>
          <w:sz w:val="20"/>
          <w:szCs w:val="20"/>
        </w:rPr>
      </w:pPr>
    </w:p>
    <w:p w14:paraId="72582AD3" w14:textId="3A3B7483" w:rsidR="00985099" w:rsidRDefault="00295A35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b/>
          <w:noProof/>
          <w:sz w:val="20"/>
          <w:szCs w:val="20"/>
        </w:rPr>
        <w:lastRenderedPageBreak/>
        <w:drawing>
          <wp:inline distT="0" distB="0" distL="0" distR="0" wp14:anchorId="4BFA11C3" wp14:editId="752BBFDA">
            <wp:extent cx="6913245" cy="67430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674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099" w:rsidRPr="009707A6">
        <w:rPr>
          <w:rFonts w:ascii="ITC Bookman" w:hAnsi="ITC Bookman"/>
          <w:b/>
          <w:sz w:val="20"/>
          <w:szCs w:val="20"/>
        </w:rPr>
        <w:t>Figure S</w:t>
      </w:r>
      <w:r w:rsidR="00985099">
        <w:rPr>
          <w:rFonts w:ascii="ITC Bookman" w:hAnsi="ITC Bookman"/>
          <w:b/>
          <w:sz w:val="20"/>
          <w:szCs w:val="20"/>
        </w:rPr>
        <w:t>20</w:t>
      </w:r>
      <w:r w:rsidR="00985099" w:rsidRPr="009707A6">
        <w:rPr>
          <w:rFonts w:ascii="ITC Bookman" w:hAnsi="ITC Bookman"/>
          <w:b/>
          <w:sz w:val="20"/>
          <w:szCs w:val="20"/>
        </w:rPr>
        <w:t>. Title.</w:t>
      </w:r>
      <w:r w:rsidR="00985099">
        <w:rPr>
          <w:rFonts w:ascii="ITC Bookman" w:hAnsi="ITC Bookman"/>
          <w:sz w:val="20"/>
          <w:szCs w:val="20"/>
        </w:rPr>
        <w:t xml:space="preserve"> Time series of seasonal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 xml:space="preserve">anomalies for the MED “source” region. Anomalies of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mean seasonal values are reported by the green lines, monthly 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blue lines, 25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cyan lines, 75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the orange lines and 95</w:t>
      </w:r>
      <w:r w:rsidR="00985099" w:rsidRPr="006B2E55">
        <w:rPr>
          <w:rFonts w:ascii="ITC Bookman" w:hAnsi="ITC Bookman"/>
          <w:sz w:val="20"/>
          <w:szCs w:val="20"/>
          <w:vertAlign w:val="superscript"/>
        </w:rPr>
        <w:t>th</w:t>
      </w:r>
      <w:r w:rsidR="00985099">
        <w:rPr>
          <w:rFonts w:ascii="ITC Bookman" w:hAnsi="ITC Bookman"/>
          <w:sz w:val="20"/>
          <w:szCs w:val="20"/>
        </w:rPr>
        <w:t xml:space="preserve"> percentiles by red lines. The orange shaded area denote the period of “persistent”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985099">
        <w:rPr>
          <w:rFonts w:ascii="ITC Bookman" w:hAnsi="ITC Bookman"/>
          <w:sz w:val="20"/>
          <w:szCs w:val="20"/>
        </w:rPr>
        <w:t>episodes at CMN.</w:t>
      </w:r>
    </w:p>
    <w:p w14:paraId="67E65DD3" w14:textId="018D52C7" w:rsidR="005F6A03" w:rsidRDefault="005F6A03" w:rsidP="005F356E">
      <w:pPr>
        <w:spacing w:after="240"/>
        <w:jc w:val="center"/>
        <w:rPr>
          <w:rFonts w:ascii="ITC Bookman" w:hAnsi="ITC Bookman"/>
          <w:sz w:val="20"/>
          <w:szCs w:val="20"/>
        </w:rPr>
      </w:pPr>
      <w:r w:rsidRPr="005F6A03">
        <w:rPr>
          <w:noProof/>
        </w:rPr>
        <w:lastRenderedPageBreak/>
        <w:drawing>
          <wp:inline distT="0" distB="0" distL="0" distR="0" wp14:anchorId="3187CD8E" wp14:editId="09C975E0">
            <wp:extent cx="3757291" cy="691726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2" r="17502"/>
                    <a:stretch/>
                  </pic:blipFill>
                  <pic:spPr bwMode="auto">
                    <a:xfrm>
                      <a:off x="0" y="0"/>
                      <a:ext cx="3769559" cy="69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CB9D5" w14:textId="7266E628" w:rsidR="005F356E" w:rsidRPr="005F356E" w:rsidRDefault="005F356E" w:rsidP="005C53E0">
      <w:pPr>
        <w:spacing w:after="0"/>
        <w:jc w:val="both"/>
        <w:rPr>
          <w:rFonts w:ascii="ITC Bookman" w:hAnsi="ITC Bookman"/>
          <w:sz w:val="20"/>
          <w:szCs w:val="20"/>
        </w:rPr>
      </w:pPr>
      <w:r w:rsidRPr="005F356E">
        <w:rPr>
          <w:rFonts w:ascii="ITC Bookman" w:hAnsi="ITC Bookman"/>
          <w:b/>
          <w:sz w:val="20"/>
          <w:szCs w:val="20"/>
        </w:rPr>
        <w:t xml:space="preserve">Figure </w:t>
      </w:r>
      <w:r w:rsidR="00672D22">
        <w:rPr>
          <w:rFonts w:ascii="ITC Bookman" w:hAnsi="ITC Bookman"/>
          <w:b/>
          <w:sz w:val="20"/>
          <w:szCs w:val="20"/>
        </w:rPr>
        <w:t>S21</w:t>
      </w:r>
      <w:r w:rsidRPr="005F356E">
        <w:rPr>
          <w:rFonts w:ascii="ITC Bookman" w:hAnsi="ITC Bookman"/>
          <w:b/>
          <w:sz w:val="20"/>
          <w:szCs w:val="20"/>
        </w:rPr>
        <w:t>.</w:t>
      </w:r>
      <w:r w:rsidRPr="005F356E">
        <w:rPr>
          <w:rFonts w:ascii="ITC Bookman" w:hAnsi="ITC Bookman"/>
          <w:sz w:val="20"/>
          <w:szCs w:val="20"/>
        </w:rPr>
        <w:t xml:space="preserve"> Analysis of the relationship between the seasonal difference of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between CMN and JFJ together with air mass transport contributions from the European “source” regions and the seasonal near-surface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anomalies over these regions. Scatterplots of mean seasonal differences of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at CMN and JFJ (</w:t>
      </w:r>
      <w:r w:rsidRPr="005F356E">
        <w:rPr>
          <w:rFonts w:ascii="Symbol" w:hAnsi="Symbol"/>
          <w:sz w:val="20"/>
          <w:szCs w:val="20"/>
        </w:rPr>
        <w:t></w:t>
      </w:r>
      <w:r w:rsidRPr="005F356E">
        <w:rPr>
          <w:rFonts w:ascii="ITC Bookman" w:hAnsi="ITC Bookman"/>
          <w:sz w:val="20"/>
          <w:szCs w:val="20"/>
        </w:rPr>
        <w:t>Ozone), with SRR</w:t>
      </w:r>
      <w:r w:rsidRPr="005C53E0">
        <w:rPr>
          <w:rFonts w:ascii="ITC Bookman" w:hAnsi="ITC Bookman"/>
          <w:sz w:val="20"/>
          <w:szCs w:val="20"/>
          <w:vertAlign w:val="subscript"/>
        </w:rPr>
        <w:t>reg</w:t>
      </w:r>
      <w:r w:rsidRPr="005F356E">
        <w:rPr>
          <w:rFonts w:ascii="ITC Bookman" w:hAnsi="ITC Bookman"/>
          <w:sz w:val="20"/>
          <w:szCs w:val="20"/>
        </w:rPr>
        <w:t>/SRR</w:t>
      </w:r>
      <w:r w:rsidRPr="005C53E0">
        <w:rPr>
          <w:rFonts w:ascii="ITC Bookman" w:hAnsi="ITC Bookman"/>
          <w:sz w:val="20"/>
          <w:szCs w:val="20"/>
          <w:vertAlign w:val="subscript"/>
        </w:rPr>
        <w:t>tot</w:t>
      </w:r>
      <w:r w:rsidRPr="005F356E">
        <w:rPr>
          <w:rFonts w:ascii="ITC Bookman" w:hAnsi="ITC Bookman"/>
          <w:sz w:val="20"/>
          <w:szCs w:val="20"/>
        </w:rPr>
        <w:t xml:space="preserve"> over the European “source” regions (i.e. CWE: Continental West Europe; WE: West Europe; CEE: Continental East Europe; NI: North Italy; MED: Mediterranean basin) as a function of the seasonal </w:t>
      </w:r>
      <w:r>
        <w:rPr>
          <w:rFonts w:ascii="ITC Bookman" w:hAnsi="ITC Bookman"/>
          <w:sz w:val="20"/>
          <w:szCs w:val="20"/>
        </w:rPr>
        <w:t>95</w:t>
      </w:r>
      <w:r w:rsidRPr="005F356E">
        <w:rPr>
          <w:rFonts w:ascii="ITC Bookman" w:hAnsi="ITC Bookman"/>
          <w:sz w:val="20"/>
          <w:szCs w:val="20"/>
          <w:vertAlign w:val="superscript"/>
        </w:rPr>
        <w:t>th</w:t>
      </w:r>
      <w:r>
        <w:rPr>
          <w:rFonts w:ascii="ITC Bookman" w:hAnsi="ITC Bookman"/>
          <w:sz w:val="20"/>
          <w:szCs w:val="20"/>
        </w:rPr>
        <w:t xml:space="preserve"> percentiles of </w:t>
      </w:r>
      <w:r w:rsidRPr="005F356E">
        <w:rPr>
          <w:rFonts w:ascii="ITC Bookman" w:hAnsi="ITC Bookman"/>
          <w:sz w:val="20"/>
          <w:szCs w:val="20"/>
        </w:rPr>
        <w:t>near-surface O</w:t>
      </w:r>
      <w:r w:rsidRPr="005F356E">
        <w:rPr>
          <w:rFonts w:ascii="ITC Bookman" w:hAnsi="ITC Bookman"/>
          <w:sz w:val="20"/>
          <w:szCs w:val="20"/>
          <w:vertAlign w:val="subscript"/>
        </w:rPr>
        <w:t>3</w:t>
      </w:r>
      <w:r w:rsidRPr="005F356E">
        <w:rPr>
          <w:rFonts w:ascii="ITC Bookman" w:hAnsi="ITC Bookman"/>
          <w:sz w:val="20"/>
          <w:szCs w:val="20"/>
        </w:rPr>
        <w:t xml:space="preserve"> over these regions (as deduced by the Airbase dataset analysis).</w:t>
      </w:r>
    </w:p>
    <w:p w14:paraId="7EBA67F7" w14:textId="0C210B72" w:rsidR="001D280C" w:rsidRPr="00985099" w:rsidRDefault="005F356E" w:rsidP="00295A35">
      <w:pPr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b/>
          <w:sz w:val="20"/>
          <w:szCs w:val="20"/>
        </w:rPr>
        <w:br w:type="page"/>
      </w:r>
      <w:r w:rsidR="001D280C" w:rsidRPr="00985099">
        <w:rPr>
          <w:rFonts w:ascii="ITC Bookman" w:hAnsi="ITC Bookman"/>
          <w:b/>
          <w:sz w:val="20"/>
          <w:szCs w:val="20"/>
        </w:rPr>
        <w:lastRenderedPageBreak/>
        <w:t>Table S1</w:t>
      </w:r>
      <w:r w:rsidR="001D280C" w:rsidRPr="00985099">
        <w:rPr>
          <w:rFonts w:ascii="ITC Bookman" w:hAnsi="ITC Bookman"/>
          <w:sz w:val="20"/>
          <w:szCs w:val="20"/>
        </w:rPr>
        <w:t xml:space="preserve">.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1D280C" w:rsidRPr="00985099">
        <w:rPr>
          <w:rFonts w:ascii="ITC Bookman" w:hAnsi="ITC Bookman"/>
          <w:sz w:val="20"/>
          <w:szCs w:val="20"/>
        </w:rPr>
        <w:t xml:space="preserve">trends/tendencies based on observed </w:t>
      </w:r>
      <w:r w:rsidR="00985099" w:rsidRPr="00173D61">
        <w:rPr>
          <w:rFonts w:ascii="ITC Bookman" w:hAnsi="ITC Bookman"/>
          <w:sz w:val="20"/>
          <w:szCs w:val="20"/>
        </w:rPr>
        <w:t>O</w:t>
      </w:r>
      <w:r w:rsidR="00985099" w:rsidRPr="0072396B">
        <w:rPr>
          <w:rFonts w:ascii="ITC Bookman" w:hAnsi="ITC Bookman"/>
          <w:sz w:val="20"/>
          <w:szCs w:val="20"/>
          <w:vertAlign w:val="subscript"/>
        </w:rPr>
        <w:t>3</w:t>
      </w:r>
      <w:r w:rsidR="00985099" w:rsidRPr="00173D61">
        <w:rPr>
          <w:rFonts w:ascii="ITC Bookman" w:hAnsi="ITC Bookman"/>
          <w:sz w:val="20"/>
          <w:szCs w:val="20"/>
        </w:rPr>
        <w:t xml:space="preserve"> </w:t>
      </w:r>
      <w:r w:rsidR="001D280C" w:rsidRPr="00985099">
        <w:rPr>
          <w:rFonts w:ascii="ITC Bookman" w:hAnsi="ITC Bookman"/>
          <w:sz w:val="20"/>
          <w:szCs w:val="20"/>
        </w:rPr>
        <w:t xml:space="preserve">monthly values. Trend/tendency values are expressed as ppb/year. P-values are reported for the linear regression model and for the Mann – Kendall test. For the Theil-Sen estimator, the 95% confidence intervals obtained by the bootstrap analysis were reported. Different data selection are considered: all data, nighttime and daytime.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2191"/>
        <w:gridCol w:w="2192"/>
        <w:gridCol w:w="2192"/>
      </w:tblGrid>
      <w:tr w:rsidR="001D280C" w14:paraId="333E8150" w14:textId="77777777" w:rsidTr="00077B64">
        <w:tc>
          <w:tcPr>
            <w:tcW w:w="1660" w:type="dxa"/>
          </w:tcPr>
          <w:p w14:paraId="50336112" w14:textId="77777777" w:rsidR="001D280C" w:rsidRPr="00985099" w:rsidRDefault="001D280C" w:rsidP="00077B64">
            <w:pPr>
              <w:jc w:val="both"/>
              <w:rPr>
                <w:b/>
                <w:sz w:val="24"/>
                <w:szCs w:val="24"/>
              </w:rPr>
            </w:pPr>
            <w:r w:rsidRPr="00985099">
              <w:rPr>
                <w:b/>
                <w:sz w:val="24"/>
                <w:szCs w:val="24"/>
              </w:rPr>
              <w:t>Site name</w:t>
            </w:r>
          </w:p>
        </w:tc>
        <w:tc>
          <w:tcPr>
            <w:tcW w:w="1660" w:type="dxa"/>
          </w:tcPr>
          <w:p w14:paraId="5E1FD092" w14:textId="77777777" w:rsidR="001D280C" w:rsidRPr="00985099" w:rsidRDefault="001D280C" w:rsidP="00077B64">
            <w:pPr>
              <w:jc w:val="both"/>
              <w:rPr>
                <w:b/>
                <w:sz w:val="24"/>
                <w:szCs w:val="24"/>
              </w:rPr>
            </w:pPr>
            <w:r w:rsidRPr="00985099">
              <w:rPr>
                <w:b/>
                <w:sz w:val="24"/>
                <w:szCs w:val="24"/>
              </w:rPr>
              <w:t>Data Selection</w:t>
            </w:r>
          </w:p>
        </w:tc>
        <w:tc>
          <w:tcPr>
            <w:tcW w:w="2191" w:type="dxa"/>
          </w:tcPr>
          <w:p w14:paraId="05915380" w14:textId="77777777" w:rsidR="001D280C" w:rsidRPr="00985099" w:rsidRDefault="001D280C" w:rsidP="00077B64">
            <w:pPr>
              <w:jc w:val="both"/>
              <w:rPr>
                <w:b/>
                <w:sz w:val="24"/>
                <w:szCs w:val="24"/>
              </w:rPr>
            </w:pPr>
            <w:r w:rsidRPr="00985099">
              <w:rPr>
                <w:b/>
                <w:sz w:val="24"/>
                <w:szCs w:val="24"/>
              </w:rPr>
              <w:t xml:space="preserve">Linear model </w:t>
            </w:r>
          </w:p>
        </w:tc>
        <w:tc>
          <w:tcPr>
            <w:tcW w:w="2192" w:type="dxa"/>
          </w:tcPr>
          <w:p w14:paraId="333CFC8A" w14:textId="77777777" w:rsidR="001D280C" w:rsidRPr="00985099" w:rsidRDefault="001D280C" w:rsidP="00077B64">
            <w:pPr>
              <w:jc w:val="both"/>
              <w:rPr>
                <w:b/>
                <w:sz w:val="24"/>
                <w:szCs w:val="24"/>
              </w:rPr>
            </w:pPr>
            <w:r w:rsidRPr="00985099">
              <w:rPr>
                <w:b/>
                <w:sz w:val="24"/>
                <w:szCs w:val="24"/>
              </w:rPr>
              <w:t>Theil - Sen</w:t>
            </w:r>
          </w:p>
        </w:tc>
        <w:tc>
          <w:tcPr>
            <w:tcW w:w="2192" w:type="dxa"/>
          </w:tcPr>
          <w:p w14:paraId="45B105F6" w14:textId="77777777" w:rsidR="001D280C" w:rsidRPr="00985099" w:rsidRDefault="001D280C" w:rsidP="00077B64">
            <w:pPr>
              <w:jc w:val="both"/>
              <w:rPr>
                <w:b/>
                <w:sz w:val="24"/>
                <w:szCs w:val="24"/>
              </w:rPr>
            </w:pPr>
            <w:r w:rsidRPr="00985099">
              <w:rPr>
                <w:b/>
                <w:sz w:val="24"/>
                <w:szCs w:val="24"/>
              </w:rPr>
              <w:t>Mann – Kendall</w:t>
            </w:r>
          </w:p>
        </w:tc>
      </w:tr>
      <w:tr w:rsidR="00985099" w14:paraId="42F9A76A" w14:textId="77777777" w:rsidTr="00077B64">
        <w:tc>
          <w:tcPr>
            <w:tcW w:w="1660" w:type="dxa"/>
            <w:vMerge w:val="restart"/>
          </w:tcPr>
          <w:p w14:paraId="7FF3B6D2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CMN</w:t>
            </w:r>
          </w:p>
        </w:tc>
        <w:tc>
          <w:tcPr>
            <w:tcW w:w="1660" w:type="dxa"/>
          </w:tcPr>
          <w:p w14:paraId="43B9918C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All data</w:t>
            </w:r>
          </w:p>
        </w:tc>
        <w:tc>
          <w:tcPr>
            <w:tcW w:w="2191" w:type="dxa"/>
          </w:tcPr>
          <w:p w14:paraId="1665571D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-0.19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±</m:t>
              </m:r>
            </m:oMath>
            <w:r w:rsidRPr="00985099">
              <w:rPr>
                <w:noProof/>
                <w:sz w:val="24"/>
                <w:szCs w:val="24"/>
              </w:rPr>
              <w:t xml:space="preserve">0.04, </w:t>
            </w:r>
          </w:p>
          <w:p w14:paraId="41117A0E" w14:textId="48CB9FE4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&lt; 0.01</w:t>
            </w:r>
          </w:p>
        </w:tc>
        <w:tc>
          <w:tcPr>
            <w:tcW w:w="2192" w:type="dxa"/>
          </w:tcPr>
          <w:p w14:paraId="56844EE4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-0.22 [-0.48, -0.05] </w:t>
            </w:r>
          </w:p>
        </w:tc>
        <w:tc>
          <w:tcPr>
            <w:tcW w:w="2192" w:type="dxa"/>
          </w:tcPr>
          <w:p w14:paraId="2CD35892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0.010</w:t>
            </w:r>
          </w:p>
        </w:tc>
      </w:tr>
      <w:tr w:rsidR="00985099" w14:paraId="430A7896" w14:textId="77777777" w:rsidTr="00077B64">
        <w:tc>
          <w:tcPr>
            <w:tcW w:w="1660" w:type="dxa"/>
            <w:vMerge/>
          </w:tcPr>
          <w:p w14:paraId="7E986732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660" w:type="dxa"/>
          </w:tcPr>
          <w:p w14:paraId="37BBD343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Nighttime</w:t>
            </w:r>
          </w:p>
        </w:tc>
        <w:tc>
          <w:tcPr>
            <w:tcW w:w="2191" w:type="dxa"/>
          </w:tcPr>
          <w:p w14:paraId="46C1DC0C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-0.19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±</m:t>
              </m:r>
            </m:oMath>
            <w:r w:rsidRPr="00985099">
              <w:rPr>
                <w:noProof/>
                <w:sz w:val="24"/>
                <w:szCs w:val="24"/>
              </w:rPr>
              <w:t xml:space="preserve">0.04, </w:t>
            </w:r>
          </w:p>
          <w:p w14:paraId="3BA492F9" w14:textId="1623999F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&lt; 0.01</w:t>
            </w:r>
          </w:p>
        </w:tc>
        <w:tc>
          <w:tcPr>
            <w:tcW w:w="2192" w:type="dxa"/>
          </w:tcPr>
          <w:p w14:paraId="33A727EF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-0.21 [-0.43, 0.05]</w:t>
            </w:r>
          </w:p>
        </w:tc>
        <w:tc>
          <w:tcPr>
            <w:tcW w:w="2192" w:type="dxa"/>
          </w:tcPr>
          <w:p w14:paraId="2EB3CE9F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0.016</w:t>
            </w:r>
          </w:p>
        </w:tc>
      </w:tr>
      <w:tr w:rsidR="00985099" w14:paraId="2CDEABA8" w14:textId="77777777" w:rsidTr="00077B64">
        <w:tc>
          <w:tcPr>
            <w:tcW w:w="1660" w:type="dxa"/>
            <w:vMerge/>
          </w:tcPr>
          <w:p w14:paraId="03C0EFA2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660" w:type="dxa"/>
          </w:tcPr>
          <w:p w14:paraId="1BB5C4DD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Daytime</w:t>
            </w:r>
          </w:p>
        </w:tc>
        <w:tc>
          <w:tcPr>
            <w:tcW w:w="2191" w:type="dxa"/>
          </w:tcPr>
          <w:p w14:paraId="6EC91365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-0.22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±</m:t>
              </m:r>
            </m:oMath>
            <w:r w:rsidRPr="00985099">
              <w:rPr>
                <w:noProof/>
                <w:sz w:val="24"/>
                <w:szCs w:val="24"/>
              </w:rPr>
              <w:t xml:space="preserve">0.04, </w:t>
            </w:r>
          </w:p>
          <w:p w14:paraId="274E0FCE" w14:textId="32F9F118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&lt; 0.01</w:t>
            </w:r>
          </w:p>
        </w:tc>
        <w:tc>
          <w:tcPr>
            <w:tcW w:w="2192" w:type="dxa"/>
          </w:tcPr>
          <w:p w14:paraId="78C10A2E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-0.24 [-0.49, 0.03]</w:t>
            </w:r>
          </w:p>
        </w:tc>
        <w:tc>
          <w:tcPr>
            <w:tcW w:w="2192" w:type="dxa"/>
          </w:tcPr>
          <w:p w14:paraId="20B07755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0.010</w:t>
            </w:r>
          </w:p>
        </w:tc>
      </w:tr>
      <w:tr w:rsidR="00985099" w14:paraId="72B204F3" w14:textId="77777777" w:rsidTr="00077B64">
        <w:tc>
          <w:tcPr>
            <w:tcW w:w="1660" w:type="dxa"/>
            <w:vMerge w:val="restart"/>
          </w:tcPr>
          <w:p w14:paraId="756C1336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JFJ</w:t>
            </w:r>
          </w:p>
        </w:tc>
        <w:tc>
          <w:tcPr>
            <w:tcW w:w="1660" w:type="dxa"/>
          </w:tcPr>
          <w:p w14:paraId="4E29EDE3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All data</w:t>
            </w:r>
          </w:p>
        </w:tc>
        <w:tc>
          <w:tcPr>
            <w:tcW w:w="2191" w:type="dxa"/>
          </w:tcPr>
          <w:p w14:paraId="39A2F2AC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-0.04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± </m:t>
              </m:r>
            </m:oMath>
            <w:r w:rsidRPr="00985099">
              <w:rPr>
                <w:noProof/>
                <w:sz w:val="24"/>
                <w:szCs w:val="24"/>
              </w:rPr>
              <w:t xml:space="preserve">0.02, </w:t>
            </w:r>
          </w:p>
          <w:p w14:paraId="3997ED44" w14:textId="3B4478DE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&gt; 0.10</w:t>
            </w:r>
          </w:p>
        </w:tc>
        <w:tc>
          <w:tcPr>
            <w:tcW w:w="2192" w:type="dxa"/>
          </w:tcPr>
          <w:p w14:paraId="14760E57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-0.06 [-0.28, 0.12] </w:t>
            </w:r>
          </w:p>
        </w:tc>
        <w:tc>
          <w:tcPr>
            <w:tcW w:w="2192" w:type="dxa"/>
          </w:tcPr>
          <w:p w14:paraId="1010E1C5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0.34</w:t>
            </w:r>
          </w:p>
        </w:tc>
      </w:tr>
      <w:tr w:rsidR="00985099" w14:paraId="4299154C" w14:textId="77777777" w:rsidTr="00077B64">
        <w:tc>
          <w:tcPr>
            <w:tcW w:w="1660" w:type="dxa"/>
            <w:vMerge/>
          </w:tcPr>
          <w:p w14:paraId="3274DBEF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660" w:type="dxa"/>
          </w:tcPr>
          <w:p w14:paraId="48262AD4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Nighttime</w:t>
            </w:r>
          </w:p>
        </w:tc>
        <w:tc>
          <w:tcPr>
            <w:tcW w:w="2191" w:type="dxa"/>
          </w:tcPr>
          <w:p w14:paraId="4CDDA1F5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-0.04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± </m:t>
              </m:r>
            </m:oMath>
            <w:r w:rsidRPr="00985099">
              <w:rPr>
                <w:noProof/>
                <w:sz w:val="24"/>
                <w:szCs w:val="24"/>
              </w:rPr>
              <w:t xml:space="preserve">0.02, </w:t>
            </w:r>
          </w:p>
          <w:p w14:paraId="7B45DA08" w14:textId="6D9B0E84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&gt; 0.10</w:t>
            </w:r>
          </w:p>
        </w:tc>
        <w:tc>
          <w:tcPr>
            <w:tcW w:w="2192" w:type="dxa"/>
          </w:tcPr>
          <w:p w14:paraId="41CA6F00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-0.06 [-0.28, 0.13]</w:t>
            </w:r>
          </w:p>
        </w:tc>
        <w:tc>
          <w:tcPr>
            <w:tcW w:w="2192" w:type="dxa"/>
          </w:tcPr>
          <w:p w14:paraId="0E1123DA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0.36</w:t>
            </w:r>
          </w:p>
        </w:tc>
      </w:tr>
      <w:tr w:rsidR="00985099" w14:paraId="79562544" w14:textId="77777777" w:rsidTr="00077B64">
        <w:tc>
          <w:tcPr>
            <w:tcW w:w="1660" w:type="dxa"/>
            <w:vMerge/>
          </w:tcPr>
          <w:p w14:paraId="05D2D9CF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660" w:type="dxa"/>
          </w:tcPr>
          <w:p w14:paraId="04FA7B79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Daytime</w:t>
            </w:r>
          </w:p>
        </w:tc>
        <w:tc>
          <w:tcPr>
            <w:tcW w:w="2191" w:type="dxa"/>
          </w:tcPr>
          <w:p w14:paraId="7088C7F9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-0.04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± </m:t>
              </m:r>
            </m:oMath>
            <w:r w:rsidRPr="00985099">
              <w:rPr>
                <w:noProof/>
                <w:sz w:val="24"/>
                <w:szCs w:val="24"/>
              </w:rPr>
              <w:t xml:space="preserve">0.02, </w:t>
            </w:r>
          </w:p>
          <w:p w14:paraId="185F76F3" w14:textId="4A6C9C8F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0.01</w:t>
            </w:r>
          </w:p>
        </w:tc>
        <w:tc>
          <w:tcPr>
            <w:tcW w:w="2192" w:type="dxa"/>
          </w:tcPr>
          <w:p w14:paraId="2162FF47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-0.08 [-0.28, 0.12]</w:t>
            </w:r>
          </w:p>
        </w:tc>
        <w:tc>
          <w:tcPr>
            <w:tcW w:w="2192" w:type="dxa"/>
          </w:tcPr>
          <w:p w14:paraId="6DE806B4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0.22</w:t>
            </w:r>
          </w:p>
        </w:tc>
      </w:tr>
      <w:tr w:rsidR="00985099" w14:paraId="59CA48F2" w14:textId="77777777" w:rsidTr="00077B64">
        <w:tc>
          <w:tcPr>
            <w:tcW w:w="1660" w:type="dxa"/>
            <w:vMerge w:val="restart"/>
          </w:tcPr>
          <w:p w14:paraId="78E0A7E6" w14:textId="428696A1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ZUG/</w:t>
            </w:r>
            <w:r w:rsidR="007427E7">
              <w:rPr>
                <w:noProof/>
                <w:sz w:val="24"/>
                <w:szCs w:val="24"/>
              </w:rPr>
              <w:t>ZSF</w:t>
            </w:r>
          </w:p>
        </w:tc>
        <w:tc>
          <w:tcPr>
            <w:tcW w:w="1660" w:type="dxa"/>
          </w:tcPr>
          <w:p w14:paraId="5D9608AE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All data</w:t>
            </w:r>
          </w:p>
        </w:tc>
        <w:tc>
          <w:tcPr>
            <w:tcW w:w="2191" w:type="dxa"/>
          </w:tcPr>
          <w:p w14:paraId="43BEF297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-0.10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± </m:t>
              </m:r>
            </m:oMath>
            <w:r w:rsidRPr="00985099">
              <w:rPr>
                <w:noProof/>
                <w:sz w:val="24"/>
                <w:szCs w:val="24"/>
              </w:rPr>
              <w:t xml:space="preserve">0.02, </w:t>
            </w:r>
          </w:p>
          <w:p w14:paraId="5FD7EB3A" w14:textId="0F6D6021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&lt; 0.01</w:t>
            </w:r>
          </w:p>
        </w:tc>
        <w:tc>
          <w:tcPr>
            <w:tcW w:w="2192" w:type="dxa"/>
          </w:tcPr>
          <w:p w14:paraId="7967FF1C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-0.11 [-0.32, 0.09]</w:t>
            </w:r>
          </w:p>
        </w:tc>
        <w:tc>
          <w:tcPr>
            <w:tcW w:w="2192" w:type="dxa"/>
          </w:tcPr>
          <w:p w14:paraId="25B2DCB8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0.10</w:t>
            </w:r>
          </w:p>
        </w:tc>
      </w:tr>
      <w:tr w:rsidR="00985099" w14:paraId="688940E6" w14:textId="77777777" w:rsidTr="00077B64">
        <w:tc>
          <w:tcPr>
            <w:tcW w:w="1660" w:type="dxa"/>
            <w:vMerge/>
          </w:tcPr>
          <w:p w14:paraId="405D5E68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660" w:type="dxa"/>
          </w:tcPr>
          <w:p w14:paraId="58FB843C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Nighttime</w:t>
            </w:r>
          </w:p>
        </w:tc>
        <w:tc>
          <w:tcPr>
            <w:tcW w:w="2191" w:type="dxa"/>
          </w:tcPr>
          <w:p w14:paraId="720D7A39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-0.10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± </m:t>
              </m:r>
            </m:oMath>
            <w:r w:rsidRPr="00985099">
              <w:rPr>
                <w:noProof/>
                <w:sz w:val="24"/>
                <w:szCs w:val="24"/>
              </w:rPr>
              <w:t xml:space="preserve">0.02, </w:t>
            </w:r>
          </w:p>
          <w:p w14:paraId="440CE470" w14:textId="0A16CB4E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&lt; 0.01</w:t>
            </w:r>
          </w:p>
        </w:tc>
        <w:tc>
          <w:tcPr>
            <w:tcW w:w="2192" w:type="dxa"/>
          </w:tcPr>
          <w:p w14:paraId="3DA47315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-0.11 [-0.31, 0.10]</w:t>
            </w:r>
          </w:p>
        </w:tc>
        <w:tc>
          <w:tcPr>
            <w:tcW w:w="2192" w:type="dxa"/>
          </w:tcPr>
          <w:p w14:paraId="68DFB0A9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0.10</w:t>
            </w:r>
          </w:p>
        </w:tc>
      </w:tr>
      <w:tr w:rsidR="00985099" w14:paraId="27053CD5" w14:textId="77777777" w:rsidTr="00077B64">
        <w:tc>
          <w:tcPr>
            <w:tcW w:w="1660" w:type="dxa"/>
            <w:vMerge/>
          </w:tcPr>
          <w:p w14:paraId="748B9AE8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660" w:type="dxa"/>
          </w:tcPr>
          <w:p w14:paraId="2AC2B0F1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Daytime</w:t>
            </w:r>
          </w:p>
        </w:tc>
        <w:tc>
          <w:tcPr>
            <w:tcW w:w="2191" w:type="dxa"/>
          </w:tcPr>
          <w:p w14:paraId="278226B6" w14:textId="77777777" w:rsid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 xml:space="preserve">-0.11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± </m:t>
              </m:r>
            </m:oMath>
            <w:r w:rsidRPr="00985099">
              <w:rPr>
                <w:noProof/>
                <w:sz w:val="24"/>
                <w:szCs w:val="24"/>
              </w:rPr>
              <w:t xml:space="preserve">0.02, </w:t>
            </w:r>
          </w:p>
          <w:p w14:paraId="0A0ACE5E" w14:textId="4713D082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&lt; 0.01</w:t>
            </w:r>
          </w:p>
        </w:tc>
        <w:tc>
          <w:tcPr>
            <w:tcW w:w="2192" w:type="dxa"/>
          </w:tcPr>
          <w:p w14:paraId="5B9BA432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-0.12 [-0.31, 0.09]</w:t>
            </w:r>
          </w:p>
        </w:tc>
        <w:tc>
          <w:tcPr>
            <w:tcW w:w="2192" w:type="dxa"/>
          </w:tcPr>
          <w:p w14:paraId="7CF6E6E8" w14:textId="77777777" w:rsidR="00985099" w:rsidRPr="00985099" w:rsidRDefault="00985099" w:rsidP="00077B64">
            <w:pPr>
              <w:rPr>
                <w:noProof/>
                <w:sz w:val="24"/>
                <w:szCs w:val="24"/>
              </w:rPr>
            </w:pPr>
            <w:r w:rsidRPr="00985099">
              <w:rPr>
                <w:noProof/>
                <w:sz w:val="24"/>
                <w:szCs w:val="24"/>
              </w:rPr>
              <w:t>p = 0.06</w:t>
            </w:r>
          </w:p>
        </w:tc>
      </w:tr>
    </w:tbl>
    <w:p w14:paraId="0EFB763F" w14:textId="77777777" w:rsidR="001D280C" w:rsidRDefault="001D280C" w:rsidP="001D280C">
      <w:pPr>
        <w:spacing w:after="0"/>
        <w:rPr>
          <w:noProof/>
          <w:sz w:val="24"/>
        </w:rPr>
      </w:pPr>
    </w:p>
    <w:p w14:paraId="43F48894" w14:textId="17286F88" w:rsidR="001D280C" w:rsidRDefault="001D280C">
      <w:pPr>
        <w:rPr>
          <w:noProof/>
          <w:sz w:val="24"/>
        </w:rPr>
      </w:pPr>
      <w:r>
        <w:rPr>
          <w:noProof/>
          <w:sz w:val="24"/>
        </w:rPr>
        <w:br w:type="page"/>
      </w:r>
    </w:p>
    <w:p w14:paraId="3EF29760" w14:textId="07F3092F" w:rsidR="00073AC3" w:rsidRPr="00073AC3" w:rsidRDefault="00073AC3" w:rsidP="00073AC3">
      <w:pPr>
        <w:spacing w:after="0"/>
        <w:jc w:val="both"/>
        <w:rPr>
          <w:rFonts w:ascii="ITC Bookman" w:hAnsi="ITC Bookman"/>
          <w:b/>
          <w:sz w:val="20"/>
          <w:szCs w:val="20"/>
        </w:rPr>
      </w:pPr>
      <w:r w:rsidRPr="00073AC3">
        <w:rPr>
          <w:rFonts w:ascii="ITC Bookman" w:hAnsi="ITC Bookman"/>
          <w:b/>
          <w:sz w:val="20"/>
          <w:szCs w:val="20"/>
        </w:rPr>
        <w:lastRenderedPageBreak/>
        <w:t>Acknowledgments</w:t>
      </w:r>
    </w:p>
    <w:p w14:paraId="054F70ED" w14:textId="03B6FCB2" w:rsidR="00073AC3" w:rsidRDefault="00985099" w:rsidP="00073AC3">
      <w:pPr>
        <w:spacing w:after="240"/>
        <w:jc w:val="both"/>
        <w:rPr>
          <w:rFonts w:ascii="ITC Bookman" w:hAnsi="ITC Bookman"/>
          <w:sz w:val="20"/>
          <w:szCs w:val="20"/>
        </w:rPr>
      </w:pPr>
      <w:r>
        <w:rPr>
          <w:rFonts w:ascii="ITC Bookman" w:hAnsi="ITC Bookman"/>
          <w:sz w:val="20"/>
          <w:szCs w:val="20"/>
        </w:rPr>
        <w:t>Figures S11</w:t>
      </w:r>
      <w:r w:rsidR="00073AC3">
        <w:rPr>
          <w:rFonts w:ascii="ITC Bookman" w:hAnsi="ITC Bookman"/>
          <w:sz w:val="20"/>
          <w:szCs w:val="20"/>
        </w:rPr>
        <w:t xml:space="preserve"> </w:t>
      </w:r>
      <w:r>
        <w:rPr>
          <w:rFonts w:ascii="ITC Bookman" w:hAnsi="ITC Bookman"/>
          <w:sz w:val="20"/>
          <w:szCs w:val="20"/>
        </w:rPr>
        <w:t>–</w:t>
      </w:r>
      <w:r w:rsidR="00073AC3">
        <w:rPr>
          <w:rFonts w:ascii="ITC Bookman" w:hAnsi="ITC Bookman"/>
          <w:sz w:val="20"/>
          <w:szCs w:val="20"/>
        </w:rPr>
        <w:t xml:space="preserve"> S</w:t>
      </w:r>
      <w:r>
        <w:rPr>
          <w:rFonts w:ascii="ITC Bookman" w:hAnsi="ITC Bookman"/>
          <w:sz w:val="20"/>
          <w:szCs w:val="20"/>
        </w:rPr>
        <w:t>14</w:t>
      </w:r>
      <w:r w:rsidR="00073AC3">
        <w:rPr>
          <w:rFonts w:ascii="ITC Bookman" w:hAnsi="ITC Bookman"/>
          <w:sz w:val="20"/>
          <w:szCs w:val="20"/>
        </w:rPr>
        <w:t xml:space="preserve"> are produced by the “Openair” R package (Carslaw and Ropkins, 2012; </w:t>
      </w:r>
      <w:r w:rsidR="00073AC3" w:rsidRPr="00073AC3">
        <w:rPr>
          <w:rFonts w:ascii="ITC Bookman" w:hAnsi="ITC Bookman"/>
          <w:sz w:val="20"/>
          <w:szCs w:val="20"/>
        </w:rPr>
        <w:t>Carslaw,</w:t>
      </w:r>
      <w:r w:rsidR="00073AC3">
        <w:rPr>
          <w:rFonts w:ascii="ITC Bookman" w:hAnsi="ITC Bookman"/>
          <w:sz w:val="20"/>
          <w:szCs w:val="20"/>
        </w:rPr>
        <w:t xml:space="preserve"> </w:t>
      </w:r>
      <w:r w:rsidR="00073AC3" w:rsidRPr="00073AC3">
        <w:rPr>
          <w:rFonts w:ascii="ITC Bookman" w:hAnsi="ITC Bookman"/>
          <w:sz w:val="20"/>
          <w:szCs w:val="20"/>
        </w:rPr>
        <w:t>2019</w:t>
      </w:r>
      <w:r w:rsidR="00073AC3">
        <w:rPr>
          <w:rFonts w:ascii="ITC Bookman" w:hAnsi="ITC Bookman"/>
          <w:sz w:val="20"/>
          <w:szCs w:val="20"/>
        </w:rPr>
        <w:t>)</w:t>
      </w:r>
      <w:r w:rsidR="00431789">
        <w:rPr>
          <w:rFonts w:ascii="ITC Bookman" w:hAnsi="ITC Bookman"/>
          <w:sz w:val="20"/>
          <w:szCs w:val="20"/>
        </w:rPr>
        <w:t>.</w:t>
      </w:r>
    </w:p>
    <w:p w14:paraId="02676088" w14:textId="3207ACDE" w:rsidR="00073AC3" w:rsidRPr="00073AC3" w:rsidRDefault="00073AC3" w:rsidP="00073AC3">
      <w:pPr>
        <w:spacing w:after="0"/>
        <w:jc w:val="both"/>
        <w:rPr>
          <w:rFonts w:ascii="ITC Bookman" w:hAnsi="ITC Bookman"/>
          <w:b/>
          <w:sz w:val="20"/>
          <w:szCs w:val="20"/>
        </w:rPr>
      </w:pPr>
      <w:r w:rsidRPr="00073AC3">
        <w:rPr>
          <w:rFonts w:ascii="ITC Bookman" w:hAnsi="ITC Bookman"/>
          <w:b/>
          <w:sz w:val="20"/>
          <w:szCs w:val="20"/>
        </w:rPr>
        <w:t>References</w:t>
      </w:r>
    </w:p>
    <w:p w14:paraId="33455E5D" w14:textId="007AFB44" w:rsidR="00073AC3" w:rsidRPr="00073AC3" w:rsidRDefault="00073AC3" w:rsidP="00073AC3">
      <w:pPr>
        <w:spacing w:after="240"/>
        <w:jc w:val="both"/>
        <w:rPr>
          <w:rFonts w:ascii="ITC Bookman" w:hAnsi="ITC Bookman"/>
          <w:sz w:val="20"/>
          <w:szCs w:val="20"/>
        </w:rPr>
      </w:pPr>
      <w:r w:rsidRPr="00073AC3">
        <w:rPr>
          <w:rFonts w:ascii="ITC Bookman" w:hAnsi="ITC Bookman"/>
          <w:sz w:val="20"/>
          <w:szCs w:val="20"/>
        </w:rPr>
        <w:t>Carslaw</w:t>
      </w:r>
      <w:r>
        <w:rPr>
          <w:rFonts w:ascii="ITC Bookman" w:hAnsi="ITC Bookman"/>
          <w:sz w:val="20"/>
          <w:szCs w:val="20"/>
        </w:rPr>
        <w:t>, D.C. and K. Ropkins, (2012). O</w:t>
      </w:r>
      <w:r w:rsidRPr="00073AC3">
        <w:rPr>
          <w:rFonts w:ascii="ITC Bookman" w:hAnsi="ITC Bookman"/>
          <w:sz w:val="20"/>
          <w:szCs w:val="20"/>
        </w:rPr>
        <w:t>penair — an R package for air quality</w:t>
      </w:r>
      <w:r>
        <w:rPr>
          <w:rFonts w:ascii="ITC Bookman" w:hAnsi="ITC Bookman"/>
          <w:sz w:val="20"/>
          <w:szCs w:val="20"/>
        </w:rPr>
        <w:t xml:space="preserve"> </w:t>
      </w:r>
      <w:r w:rsidRPr="00073AC3">
        <w:rPr>
          <w:rFonts w:ascii="ITC Bookman" w:hAnsi="ITC Bookman"/>
          <w:sz w:val="20"/>
          <w:szCs w:val="20"/>
        </w:rPr>
        <w:t>data analysis. Environmental Modelling &amp; Software. Volume 27-28, pp.</w:t>
      </w:r>
      <w:r>
        <w:rPr>
          <w:rFonts w:ascii="ITC Bookman" w:hAnsi="ITC Bookman"/>
          <w:sz w:val="20"/>
          <w:szCs w:val="20"/>
        </w:rPr>
        <w:t xml:space="preserve"> </w:t>
      </w:r>
      <w:r w:rsidRPr="00073AC3">
        <w:rPr>
          <w:rFonts w:ascii="ITC Bookman" w:hAnsi="ITC Bookman"/>
          <w:sz w:val="20"/>
          <w:szCs w:val="20"/>
        </w:rPr>
        <w:t>52–61.</w:t>
      </w:r>
    </w:p>
    <w:p w14:paraId="270FDF26" w14:textId="634746AE" w:rsidR="00073AC3" w:rsidRPr="00694326" w:rsidRDefault="00073AC3" w:rsidP="00073AC3">
      <w:pPr>
        <w:spacing w:after="240"/>
        <w:jc w:val="both"/>
        <w:rPr>
          <w:rFonts w:ascii="ITC Bookman" w:hAnsi="ITC Bookman"/>
          <w:sz w:val="20"/>
          <w:szCs w:val="20"/>
        </w:rPr>
      </w:pPr>
      <w:r w:rsidRPr="00073AC3">
        <w:rPr>
          <w:rFonts w:ascii="ITC Bookman" w:hAnsi="ITC Bookman"/>
          <w:sz w:val="20"/>
          <w:szCs w:val="20"/>
        </w:rPr>
        <w:t>Carslaw, D.C. (2019). The openair manual — open-source tools for</w:t>
      </w:r>
      <w:r>
        <w:rPr>
          <w:rFonts w:ascii="ITC Bookman" w:hAnsi="ITC Bookman"/>
          <w:sz w:val="20"/>
          <w:szCs w:val="20"/>
        </w:rPr>
        <w:t xml:space="preserve"> </w:t>
      </w:r>
      <w:r w:rsidRPr="00073AC3">
        <w:rPr>
          <w:rFonts w:ascii="ITC Bookman" w:hAnsi="ITC Bookman"/>
          <w:sz w:val="20"/>
          <w:szCs w:val="20"/>
        </w:rPr>
        <w:t>analysing air pollution data. Manual for version 2.6-5, University of York.</w:t>
      </w:r>
    </w:p>
    <w:sectPr w:rsidR="00073AC3" w:rsidRPr="00694326" w:rsidSect="002470D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CD9F7" w14:textId="77777777" w:rsidR="00513733" w:rsidRDefault="00513733" w:rsidP="004D6E5B">
      <w:pPr>
        <w:spacing w:after="0" w:line="240" w:lineRule="auto"/>
      </w:pPr>
      <w:r>
        <w:separator/>
      </w:r>
    </w:p>
  </w:endnote>
  <w:endnote w:type="continuationSeparator" w:id="0">
    <w:p w14:paraId="00B8F537" w14:textId="77777777" w:rsidR="00513733" w:rsidRDefault="00513733" w:rsidP="004D6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C Bookman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409EA" w14:textId="77777777" w:rsidR="004D6E5B" w:rsidRDefault="004D6E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75694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5A81DD" w14:textId="76CF1108" w:rsidR="004D6E5B" w:rsidRDefault="004D6E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DC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2EA813E" w14:textId="77777777" w:rsidR="004D6E5B" w:rsidRDefault="004D6E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7F83A" w14:textId="77777777" w:rsidR="004D6E5B" w:rsidRDefault="004D6E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A5BFA" w14:textId="77777777" w:rsidR="00513733" w:rsidRDefault="00513733" w:rsidP="004D6E5B">
      <w:pPr>
        <w:spacing w:after="0" w:line="240" w:lineRule="auto"/>
      </w:pPr>
      <w:r>
        <w:separator/>
      </w:r>
    </w:p>
  </w:footnote>
  <w:footnote w:type="continuationSeparator" w:id="0">
    <w:p w14:paraId="063961CB" w14:textId="77777777" w:rsidR="00513733" w:rsidRDefault="00513733" w:rsidP="004D6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7A484" w14:textId="77777777" w:rsidR="004D6E5B" w:rsidRDefault="004D6E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6CE41" w14:textId="77777777" w:rsidR="004D6E5B" w:rsidRDefault="004D6E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0AB72" w14:textId="77777777" w:rsidR="004D6E5B" w:rsidRDefault="004D6E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7A6"/>
    <w:rsid w:val="00043E8C"/>
    <w:rsid w:val="00073AC3"/>
    <w:rsid w:val="00084420"/>
    <w:rsid w:val="000B472A"/>
    <w:rsid w:val="000C59B2"/>
    <w:rsid w:val="000E1FA7"/>
    <w:rsid w:val="0017153B"/>
    <w:rsid w:val="00173D61"/>
    <w:rsid w:val="00176FD5"/>
    <w:rsid w:val="001770BC"/>
    <w:rsid w:val="0018567B"/>
    <w:rsid w:val="001D280C"/>
    <w:rsid w:val="001D4C5D"/>
    <w:rsid w:val="00241EDE"/>
    <w:rsid w:val="002470DA"/>
    <w:rsid w:val="0026032B"/>
    <w:rsid w:val="00295A35"/>
    <w:rsid w:val="002979A0"/>
    <w:rsid w:val="002E0FD9"/>
    <w:rsid w:val="0035501B"/>
    <w:rsid w:val="00363C3A"/>
    <w:rsid w:val="0037282A"/>
    <w:rsid w:val="00374EEB"/>
    <w:rsid w:val="003A4915"/>
    <w:rsid w:val="003C42DB"/>
    <w:rsid w:val="00431789"/>
    <w:rsid w:val="00432CAA"/>
    <w:rsid w:val="00484312"/>
    <w:rsid w:val="004D6E5B"/>
    <w:rsid w:val="00505D3C"/>
    <w:rsid w:val="00513733"/>
    <w:rsid w:val="0053217B"/>
    <w:rsid w:val="00537C82"/>
    <w:rsid w:val="0055006A"/>
    <w:rsid w:val="005C53E0"/>
    <w:rsid w:val="005F356E"/>
    <w:rsid w:val="005F6A03"/>
    <w:rsid w:val="00616C58"/>
    <w:rsid w:val="00623339"/>
    <w:rsid w:val="0067276B"/>
    <w:rsid w:val="00672D22"/>
    <w:rsid w:val="006B2E55"/>
    <w:rsid w:val="0072030F"/>
    <w:rsid w:val="007427E7"/>
    <w:rsid w:val="007C1C16"/>
    <w:rsid w:val="007C7D86"/>
    <w:rsid w:val="00833CE0"/>
    <w:rsid w:val="00861B9A"/>
    <w:rsid w:val="00884223"/>
    <w:rsid w:val="00895C0C"/>
    <w:rsid w:val="009707A6"/>
    <w:rsid w:val="00985099"/>
    <w:rsid w:val="009C74A7"/>
    <w:rsid w:val="00A678DB"/>
    <w:rsid w:val="00B0439A"/>
    <w:rsid w:val="00B64B4F"/>
    <w:rsid w:val="00B81C13"/>
    <w:rsid w:val="00BE64FA"/>
    <w:rsid w:val="00C37479"/>
    <w:rsid w:val="00C54355"/>
    <w:rsid w:val="00D251CF"/>
    <w:rsid w:val="00D45BE2"/>
    <w:rsid w:val="00D47D19"/>
    <w:rsid w:val="00D611B1"/>
    <w:rsid w:val="00DA0C3B"/>
    <w:rsid w:val="00E234D9"/>
    <w:rsid w:val="00E41DC9"/>
    <w:rsid w:val="00E71C30"/>
    <w:rsid w:val="00E9496A"/>
    <w:rsid w:val="00EB2732"/>
    <w:rsid w:val="00EB4A32"/>
    <w:rsid w:val="00EC4D09"/>
    <w:rsid w:val="00ED106F"/>
    <w:rsid w:val="00FC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81F98"/>
  <w15:docId w15:val="{A2E67DEF-ADC6-4176-8A77-02CB2020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D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7A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842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4223"/>
    <w:pPr>
      <w:spacing w:line="240" w:lineRule="auto"/>
    </w:pPr>
    <w:rPr>
      <w:rFonts w:ascii="Times" w:hAnsi="Time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4223"/>
    <w:rPr>
      <w:rFonts w:ascii="Times" w:hAnsi="Times"/>
      <w:sz w:val="20"/>
      <w:szCs w:val="20"/>
    </w:rPr>
  </w:style>
  <w:style w:type="table" w:styleId="TableGrid">
    <w:name w:val="Table Grid"/>
    <w:basedOn w:val="TableNormal"/>
    <w:uiPriority w:val="59"/>
    <w:rsid w:val="001D2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6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E5B"/>
  </w:style>
  <w:style w:type="paragraph" w:styleId="Footer">
    <w:name w:val="footer"/>
    <w:basedOn w:val="Normal"/>
    <w:link w:val="FooterChar"/>
    <w:uiPriority w:val="99"/>
    <w:unhideWhenUsed/>
    <w:rsid w:val="004D6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B60B0-6138-4ACE-8E41-59C2297BB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2737</Words>
  <Characters>15607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Cristofanelli</dc:creator>
  <cp:lastModifiedBy>Paolo Cristofanelli</cp:lastModifiedBy>
  <cp:revision>2</cp:revision>
  <dcterms:created xsi:type="dcterms:W3CDTF">2020-10-28T22:06:00Z</dcterms:created>
  <dcterms:modified xsi:type="dcterms:W3CDTF">2020-10-28T22:06:00Z</dcterms:modified>
</cp:coreProperties>
</file>