
<file path=[Content_Types].xml><?xml version="1.0" encoding="utf-8"?>
<Types xmlns="http://schemas.openxmlformats.org/package/2006/content-types">
  <Default Extension="xml" ContentType="application/xml"/>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EC409B" w14:textId="77777777" w:rsidR="00E1261F" w:rsidRPr="008233DD" w:rsidRDefault="00E1261F" w:rsidP="00E1261F">
      <w:pPr>
        <w:pStyle w:val="Caption"/>
        <w:spacing w:after="0"/>
        <w:ind w:left="0"/>
        <w:jc w:val="center"/>
        <w:rPr>
          <w:rFonts w:cstheme="minorHAnsi"/>
          <w:b/>
          <w:bCs/>
          <w:color w:val="auto"/>
          <w:sz w:val="32"/>
          <w:szCs w:val="32"/>
        </w:rPr>
      </w:pPr>
      <w:r w:rsidRPr="008233DD">
        <w:rPr>
          <w:rFonts w:cstheme="minorHAnsi"/>
          <w:b/>
          <w:bCs/>
          <w:color w:val="auto"/>
          <w:sz w:val="32"/>
          <w:szCs w:val="32"/>
        </w:rPr>
        <w:t>Supplemental Material</w:t>
      </w:r>
    </w:p>
    <w:p w14:paraId="0977464A" w14:textId="77777777" w:rsidR="00E1261F" w:rsidRPr="00247A66" w:rsidRDefault="00E1261F" w:rsidP="00E1261F">
      <w:pPr>
        <w:pStyle w:val="Caption"/>
        <w:spacing w:after="0"/>
        <w:ind w:left="0"/>
        <w:jc w:val="center"/>
        <w:rPr>
          <w:rFonts w:cstheme="minorHAnsi"/>
          <w:b/>
          <w:color w:val="auto"/>
          <w:sz w:val="24"/>
          <w:szCs w:val="24"/>
        </w:rPr>
      </w:pPr>
    </w:p>
    <w:p w14:paraId="7D822911" w14:textId="77777777" w:rsidR="00FF18E0" w:rsidRPr="00FF18E0" w:rsidRDefault="00FF18E0" w:rsidP="00FF18E0">
      <w:pPr>
        <w:spacing w:after="0" w:line="240" w:lineRule="auto"/>
        <w:ind w:left="0"/>
        <w:rPr>
          <w:rFonts w:cstheme="minorHAnsi"/>
          <w:b/>
          <w:iCs/>
          <w:sz w:val="28"/>
          <w:szCs w:val="28"/>
        </w:rPr>
      </w:pPr>
      <w:r w:rsidRPr="00FF18E0">
        <w:rPr>
          <w:rFonts w:cstheme="minorHAnsi"/>
          <w:b/>
          <w:iCs/>
          <w:sz w:val="28"/>
          <w:szCs w:val="28"/>
        </w:rPr>
        <w:t xml:space="preserve">Evaluation of 15 years of modeled atmospheric oxidized nitrogen compounds across the contiguous United States </w:t>
      </w:r>
      <w:bookmarkStart w:id="0" w:name="_GoBack"/>
      <w:bookmarkEnd w:id="0"/>
    </w:p>
    <w:p w14:paraId="331D26F0" w14:textId="77777777" w:rsidR="00E1261F" w:rsidRDefault="00E1261F" w:rsidP="00E1261F">
      <w:pPr>
        <w:spacing w:after="0" w:line="240" w:lineRule="auto"/>
        <w:ind w:left="0"/>
        <w:rPr>
          <w:rFonts w:cstheme="minorHAnsi"/>
        </w:rPr>
      </w:pPr>
    </w:p>
    <w:p w14:paraId="006B9AD6" w14:textId="541FEDE0" w:rsidR="00E1261F" w:rsidRDefault="00E1261F" w:rsidP="00E1261F">
      <w:pPr>
        <w:spacing w:after="0" w:line="240" w:lineRule="auto"/>
        <w:ind w:left="0"/>
        <w:rPr>
          <w:rFonts w:cstheme="minorHAnsi"/>
        </w:rPr>
      </w:pPr>
      <w:r w:rsidRPr="009102FD">
        <w:rPr>
          <w:rFonts w:cstheme="minorHAnsi"/>
        </w:rPr>
        <w:t>Claudia Toro</w:t>
      </w:r>
      <w:r w:rsidRPr="008233DD">
        <w:rPr>
          <w:rFonts w:cstheme="minorHAnsi"/>
          <w:vertAlign w:val="superscript"/>
        </w:rPr>
        <w:t>1</w:t>
      </w:r>
      <w:r w:rsidRPr="009102FD">
        <w:rPr>
          <w:rFonts w:cstheme="minorHAnsi"/>
        </w:rPr>
        <w:t>, Kristen Foley</w:t>
      </w:r>
      <w:r w:rsidR="00053C0B">
        <w:rPr>
          <w:rFonts w:cstheme="minorHAnsi"/>
        </w:rPr>
        <w:t>*</w:t>
      </w:r>
      <w:r w:rsidRPr="008233DD">
        <w:rPr>
          <w:rFonts w:cstheme="minorHAnsi"/>
          <w:vertAlign w:val="superscript"/>
        </w:rPr>
        <w:t>2</w:t>
      </w:r>
      <w:r w:rsidRPr="009102FD">
        <w:rPr>
          <w:rFonts w:cstheme="minorHAnsi"/>
        </w:rPr>
        <w:t>, Heather Simon</w:t>
      </w:r>
      <w:r w:rsidRPr="008233DD">
        <w:rPr>
          <w:rFonts w:cstheme="minorHAnsi"/>
          <w:vertAlign w:val="superscript"/>
        </w:rPr>
        <w:t>2</w:t>
      </w:r>
      <w:r w:rsidRPr="009102FD">
        <w:rPr>
          <w:rFonts w:cstheme="minorHAnsi"/>
        </w:rPr>
        <w:t>, Barron Henderson</w:t>
      </w:r>
      <w:r w:rsidRPr="008233DD">
        <w:rPr>
          <w:rFonts w:cstheme="minorHAnsi"/>
          <w:vertAlign w:val="superscript"/>
        </w:rPr>
        <w:t>2</w:t>
      </w:r>
      <w:r w:rsidRPr="009102FD">
        <w:rPr>
          <w:rFonts w:cstheme="minorHAnsi"/>
        </w:rPr>
        <w:t>, Kirk R. Baker</w:t>
      </w:r>
      <w:r w:rsidRPr="008233DD">
        <w:rPr>
          <w:rFonts w:cstheme="minorHAnsi"/>
          <w:vertAlign w:val="superscript"/>
        </w:rPr>
        <w:t>2</w:t>
      </w:r>
      <w:r w:rsidRPr="009102FD">
        <w:rPr>
          <w:rFonts w:cstheme="minorHAnsi"/>
        </w:rPr>
        <w:t>, Alison Eyth</w:t>
      </w:r>
      <w:r w:rsidRPr="008233DD">
        <w:rPr>
          <w:rFonts w:cstheme="minorHAnsi"/>
          <w:vertAlign w:val="superscript"/>
        </w:rPr>
        <w:t>2</w:t>
      </w:r>
      <w:r w:rsidRPr="009102FD">
        <w:rPr>
          <w:rFonts w:cstheme="minorHAnsi"/>
        </w:rPr>
        <w:t>, Brian Timin</w:t>
      </w:r>
      <w:r w:rsidRPr="008233DD">
        <w:rPr>
          <w:rFonts w:cstheme="minorHAnsi"/>
          <w:vertAlign w:val="superscript"/>
        </w:rPr>
        <w:t>2</w:t>
      </w:r>
      <w:r w:rsidRPr="009102FD">
        <w:rPr>
          <w:rFonts w:cstheme="minorHAnsi"/>
        </w:rPr>
        <w:t xml:space="preserve">, </w:t>
      </w:r>
      <w:proofErr w:type="spellStart"/>
      <w:r w:rsidRPr="009102FD">
        <w:rPr>
          <w:rFonts w:cstheme="minorHAnsi"/>
        </w:rPr>
        <w:t>Wyat</w:t>
      </w:r>
      <w:proofErr w:type="spellEnd"/>
      <w:r w:rsidRPr="009102FD">
        <w:rPr>
          <w:rFonts w:cstheme="minorHAnsi"/>
        </w:rPr>
        <w:t xml:space="preserve"> Appel</w:t>
      </w:r>
      <w:r w:rsidRPr="008233DD">
        <w:rPr>
          <w:rFonts w:cstheme="minorHAnsi"/>
          <w:vertAlign w:val="superscript"/>
        </w:rPr>
        <w:t>2</w:t>
      </w:r>
      <w:r w:rsidRPr="009102FD">
        <w:rPr>
          <w:rFonts w:cstheme="minorHAnsi"/>
        </w:rPr>
        <w:t>, Deborah Luecken</w:t>
      </w:r>
      <w:r w:rsidRPr="008233DD">
        <w:rPr>
          <w:rFonts w:cstheme="minorHAnsi"/>
          <w:vertAlign w:val="superscript"/>
        </w:rPr>
        <w:t>2</w:t>
      </w:r>
      <w:r w:rsidRPr="009102FD">
        <w:rPr>
          <w:rFonts w:cstheme="minorHAnsi"/>
        </w:rPr>
        <w:t>, Megan Beardsley</w:t>
      </w:r>
      <w:r w:rsidRPr="008233DD">
        <w:rPr>
          <w:rFonts w:cstheme="minorHAnsi"/>
          <w:vertAlign w:val="superscript"/>
        </w:rPr>
        <w:t>1</w:t>
      </w:r>
      <w:r w:rsidRPr="009102FD">
        <w:rPr>
          <w:rFonts w:cstheme="minorHAnsi"/>
        </w:rPr>
        <w:t>, Darrell Sonntag</w:t>
      </w:r>
      <w:r w:rsidRPr="008233DD">
        <w:rPr>
          <w:rFonts w:cstheme="minorHAnsi"/>
          <w:vertAlign w:val="superscript"/>
        </w:rPr>
        <w:t>1</w:t>
      </w:r>
      <w:r w:rsidRPr="009102FD">
        <w:rPr>
          <w:rFonts w:cstheme="minorHAnsi"/>
        </w:rPr>
        <w:t>, Norm Possiel</w:t>
      </w:r>
      <w:r w:rsidRPr="008233DD">
        <w:rPr>
          <w:rFonts w:cstheme="minorHAnsi"/>
          <w:vertAlign w:val="superscript"/>
        </w:rPr>
        <w:t>2</w:t>
      </w:r>
      <w:r w:rsidRPr="009102FD">
        <w:rPr>
          <w:rFonts w:cstheme="minorHAnsi"/>
        </w:rPr>
        <w:t>, Sarah Roberts</w:t>
      </w:r>
      <w:r w:rsidRPr="008233DD">
        <w:rPr>
          <w:rFonts w:cstheme="minorHAnsi"/>
          <w:vertAlign w:val="superscript"/>
        </w:rPr>
        <w:t>1</w:t>
      </w:r>
    </w:p>
    <w:p w14:paraId="3B1FA875" w14:textId="77777777" w:rsidR="00E1261F" w:rsidRDefault="00E1261F" w:rsidP="00E1261F">
      <w:pPr>
        <w:spacing w:after="0" w:line="240" w:lineRule="auto"/>
        <w:ind w:left="0"/>
        <w:rPr>
          <w:rFonts w:cstheme="minorHAnsi"/>
        </w:rPr>
      </w:pPr>
    </w:p>
    <w:p w14:paraId="488E6A7E" w14:textId="77777777" w:rsidR="00E1261F" w:rsidRDefault="00E1261F" w:rsidP="00E1261F">
      <w:pPr>
        <w:spacing w:after="0" w:line="240" w:lineRule="auto"/>
        <w:ind w:left="0"/>
        <w:rPr>
          <w:rFonts w:cstheme="minorHAnsi"/>
        </w:rPr>
      </w:pPr>
      <w:r w:rsidRPr="008233DD">
        <w:rPr>
          <w:rFonts w:cstheme="minorHAnsi"/>
          <w:vertAlign w:val="superscript"/>
        </w:rPr>
        <w:t>1</w:t>
      </w:r>
      <w:r w:rsidRPr="009102FD">
        <w:rPr>
          <w:rFonts w:cstheme="minorHAnsi"/>
        </w:rPr>
        <w:t>U.S. Environmental Protection Agency, Ann Arbor, M</w:t>
      </w:r>
      <w:r>
        <w:rPr>
          <w:rFonts w:cstheme="minorHAnsi"/>
        </w:rPr>
        <w:t>ichigan, United States</w:t>
      </w:r>
    </w:p>
    <w:p w14:paraId="1A984ED9" w14:textId="77777777" w:rsidR="00E1261F" w:rsidRDefault="00E1261F" w:rsidP="00E1261F">
      <w:pPr>
        <w:spacing w:after="0" w:line="240" w:lineRule="auto"/>
        <w:ind w:left="0"/>
        <w:rPr>
          <w:rFonts w:cstheme="minorHAnsi"/>
        </w:rPr>
      </w:pPr>
      <w:r w:rsidRPr="008233DD">
        <w:rPr>
          <w:rFonts w:cstheme="minorHAnsi"/>
          <w:vertAlign w:val="superscript"/>
        </w:rPr>
        <w:t>2</w:t>
      </w:r>
      <w:r w:rsidRPr="009102FD">
        <w:rPr>
          <w:rFonts w:cstheme="minorHAnsi"/>
        </w:rPr>
        <w:t xml:space="preserve">U.S. Environmental Protection Agency, Research Triangle Park, </w:t>
      </w:r>
      <w:r>
        <w:rPr>
          <w:rFonts w:cstheme="minorHAnsi"/>
        </w:rPr>
        <w:t>North Carolina, United States</w:t>
      </w:r>
    </w:p>
    <w:p w14:paraId="6015A3F6" w14:textId="77777777" w:rsidR="00E1261F" w:rsidRPr="009102FD" w:rsidRDefault="00E1261F" w:rsidP="00E1261F">
      <w:pPr>
        <w:spacing w:after="0" w:line="240" w:lineRule="auto"/>
        <w:ind w:left="0"/>
        <w:rPr>
          <w:rFonts w:cstheme="minorHAnsi"/>
        </w:rPr>
      </w:pPr>
    </w:p>
    <w:p w14:paraId="393FF8FF" w14:textId="2F478EE5" w:rsidR="00E1261F" w:rsidRPr="009102FD" w:rsidRDefault="00E1261F" w:rsidP="00E1261F">
      <w:pPr>
        <w:pStyle w:val="Body"/>
        <w:rPr>
          <w:rFonts w:asciiTheme="minorHAnsi" w:hAnsiTheme="minorHAnsi" w:cstheme="minorHAnsi"/>
          <w:color w:val="auto"/>
        </w:rPr>
      </w:pPr>
      <w:r w:rsidRPr="009102FD">
        <w:rPr>
          <w:rFonts w:asciiTheme="minorHAnsi" w:hAnsiTheme="minorHAnsi" w:cstheme="minorHAnsi"/>
          <w:color w:val="auto"/>
        </w:rPr>
        <w:t xml:space="preserve">*Corresponding author: </w:t>
      </w:r>
      <w:r w:rsidR="00E81378">
        <w:rPr>
          <w:rFonts w:asciiTheme="minorHAnsi" w:hAnsiTheme="minorHAnsi" w:cstheme="minorHAnsi"/>
          <w:color w:val="auto"/>
        </w:rPr>
        <w:t>foley.kristen</w:t>
      </w:r>
      <w:r w:rsidRPr="009102FD">
        <w:rPr>
          <w:rFonts w:asciiTheme="minorHAnsi" w:hAnsiTheme="minorHAnsi" w:cstheme="minorHAnsi"/>
          <w:color w:val="auto"/>
        </w:rPr>
        <w:t>@epa.gov</w:t>
      </w:r>
    </w:p>
    <w:p w14:paraId="6640264D" w14:textId="77777777" w:rsidR="00E1261F" w:rsidRDefault="00E1261F" w:rsidP="0048052C">
      <w:pPr>
        <w:pStyle w:val="NoSpacing"/>
      </w:pPr>
    </w:p>
    <w:p w14:paraId="460A45BE" w14:textId="77777777" w:rsidR="00E1261F" w:rsidRPr="006401D9" w:rsidRDefault="00E1261F" w:rsidP="00E1261F">
      <w:pPr>
        <w:ind w:left="0"/>
        <w:rPr>
          <w:rFonts w:cstheme="minorHAnsi"/>
          <w:b/>
          <w:bCs/>
        </w:rPr>
      </w:pPr>
      <w:r w:rsidRPr="006401D9">
        <w:rPr>
          <w:rFonts w:cstheme="minorHAnsi"/>
          <w:b/>
          <w:bCs/>
        </w:rPr>
        <w:t>List of Contents:</w:t>
      </w:r>
    </w:p>
    <w:p w14:paraId="132267D6" w14:textId="309EBDC0" w:rsidR="00E1261F" w:rsidRDefault="00E1261F" w:rsidP="455D1EBA">
      <w:pPr>
        <w:spacing w:after="0" w:line="240" w:lineRule="auto"/>
        <w:ind w:left="0"/>
      </w:pPr>
      <w:bookmarkStart w:id="1" w:name="_Hlk63274570"/>
      <w:r w:rsidRPr="455D1EBA">
        <w:rPr>
          <w:b/>
          <w:bCs/>
        </w:rPr>
        <w:t>Figure S1.</w:t>
      </w:r>
      <w:r>
        <w:t xml:space="preserve"> </w:t>
      </w:r>
      <w:r w:rsidRPr="455D1EBA">
        <w:rPr>
          <w:b/>
          <w:bCs/>
        </w:rPr>
        <w:t>NO</w:t>
      </w:r>
      <w:r w:rsidRPr="455D1EBA">
        <w:rPr>
          <w:b/>
          <w:bCs/>
          <w:vertAlign w:val="subscript"/>
        </w:rPr>
        <w:t>X</w:t>
      </w:r>
      <w:r w:rsidRPr="455D1EBA">
        <w:rPr>
          <w:b/>
          <w:bCs/>
        </w:rPr>
        <w:t xml:space="preserve"> </w:t>
      </w:r>
      <w:r w:rsidR="00BF17BF" w:rsidRPr="455D1EBA">
        <w:rPr>
          <w:b/>
          <w:bCs/>
        </w:rPr>
        <w:t xml:space="preserve">monitoring </w:t>
      </w:r>
      <w:r w:rsidRPr="455D1EBA">
        <w:rPr>
          <w:b/>
          <w:bCs/>
        </w:rPr>
        <w:t>sites by NOAA Climate Regions (</w:t>
      </w:r>
      <w:r w:rsidR="00D74708" w:rsidRPr="455D1EBA">
        <w:rPr>
          <w:b/>
          <w:bCs/>
        </w:rPr>
        <w:t>top</w:t>
      </w:r>
      <w:r w:rsidRPr="455D1EBA">
        <w:rPr>
          <w:b/>
          <w:bCs/>
        </w:rPr>
        <w:t xml:space="preserve">) and </w:t>
      </w:r>
      <w:r w:rsidR="00D74708" w:rsidRPr="455D1EBA">
        <w:rPr>
          <w:b/>
          <w:bCs/>
        </w:rPr>
        <w:t>data availability by site</w:t>
      </w:r>
      <w:r w:rsidR="00BF17BF" w:rsidRPr="455D1EBA">
        <w:rPr>
          <w:b/>
          <w:bCs/>
        </w:rPr>
        <w:t xml:space="preserve"> </w:t>
      </w:r>
      <w:r w:rsidR="00E843FD" w:rsidRPr="455D1EBA">
        <w:rPr>
          <w:b/>
          <w:bCs/>
        </w:rPr>
        <w:t>(bottom).</w:t>
      </w:r>
      <w:r w:rsidR="00E843FD">
        <w:t xml:space="preserve"> </w:t>
      </w:r>
      <w:r w:rsidR="00BF17BF">
        <w:t>Bottom figure</w:t>
      </w:r>
      <w:r w:rsidR="00E843FD">
        <w:t xml:space="preserve"> shows number of years with data available by site</w:t>
      </w:r>
      <w:r w:rsidR="00BF17BF">
        <w:t xml:space="preserve"> for the period 2002-2016. </w:t>
      </w:r>
      <w:r>
        <w:t xml:space="preserve">Note that the NOAA Climate Region Northern Rockies and Plains (MT, WY, ND, SD, NE) has been combined with the Northwest Region (WA, OR, ID) due to limited number of available monitors in many of these states. </w:t>
      </w:r>
    </w:p>
    <w:p w14:paraId="71C3FE79" w14:textId="3840C4FF" w:rsidR="455D1EBA" w:rsidRDefault="455D1EBA" w:rsidP="455D1EBA">
      <w:pPr>
        <w:spacing w:after="0" w:line="240" w:lineRule="auto"/>
        <w:ind w:left="0"/>
      </w:pPr>
    </w:p>
    <w:p w14:paraId="579151FE" w14:textId="4DC1D65F" w:rsidR="02ACF12C" w:rsidRDefault="02ACF12C" w:rsidP="455D1EBA">
      <w:pPr>
        <w:spacing w:after="0" w:line="240" w:lineRule="auto"/>
        <w:ind w:left="0"/>
      </w:pPr>
      <w:r w:rsidRPr="455D1EBA">
        <w:rPr>
          <w:b/>
          <w:bCs/>
        </w:rPr>
        <w:t>Figure S2</w:t>
      </w:r>
      <w:r>
        <w:t xml:space="preserve">. </w:t>
      </w:r>
      <w:r w:rsidR="006E1809" w:rsidRPr="36C9B2A4">
        <w:rPr>
          <w:b/>
          <w:bCs/>
        </w:rPr>
        <w:t>Modeled annual average of oxidized nitrogen species for winter (top</w:t>
      </w:r>
      <w:r w:rsidR="006E1809">
        <w:rPr>
          <w:b/>
          <w:bCs/>
        </w:rPr>
        <w:t xml:space="preserve"> 4-plot panel, labeled as Q1</w:t>
      </w:r>
      <w:r w:rsidR="006E1809" w:rsidRPr="36C9B2A4">
        <w:rPr>
          <w:b/>
          <w:bCs/>
        </w:rPr>
        <w:t>) and summer (bottom</w:t>
      </w:r>
      <w:r w:rsidR="006E1809">
        <w:rPr>
          <w:b/>
          <w:bCs/>
        </w:rPr>
        <w:t xml:space="preserve"> 4-plot panel, labeled as Q3</w:t>
      </w:r>
      <w:r w:rsidR="006E1809" w:rsidRPr="36C9B2A4">
        <w:rPr>
          <w:b/>
          <w:bCs/>
        </w:rPr>
        <w:t>) of 2015</w:t>
      </w:r>
      <w:r w:rsidR="006E1809">
        <w:t>. For each 4-plot panel, top left represents NO</w:t>
      </w:r>
      <w:r w:rsidR="006E1809" w:rsidRPr="36C9B2A4">
        <w:rPr>
          <w:vertAlign w:val="subscript"/>
        </w:rPr>
        <w:t>X</w:t>
      </w:r>
      <w:r w:rsidR="006E1809">
        <w:t xml:space="preserve"> (NO+ NO</w:t>
      </w:r>
      <w:r w:rsidR="006E1809" w:rsidRPr="36C9B2A4">
        <w:rPr>
          <w:vertAlign w:val="subscript"/>
        </w:rPr>
        <w:t>2</w:t>
      </w:r>
      <w:r w:rsidR="006E1809">
        <w:t xml:space="preserve">), top right represents </w:t>
      </w:r>
      <w:proofErr w:type="spellStart"/>
      <w:r w:rsidR="006E1809">
        <w:t>NOz</w:t>
      </w:r>
      <w:proofErr w:type="spellEnd"/>
      <w:r w:rsidR="006E1809">
        <w:t xml:space="preserve"> (the difference between NO</w:t>
      </w:r>
      <w:r w:rsidR="006E1809" w:rsidRPr="36C9B2A4">
        <w:rPr>
          <w:vertAlign w:val="subscript"/>
        </w:rPr>
        <w:t>Y</w:t>
      </w:r>
      <w:r w:rsidR="006E1809">
        <w:t xml:space="preserve"> and NO</w:t>
      </w:r>
      <w:r w:rsidR="006E1809" w:rsidRPr="36C9B2A4">
        <w:rPr>
          <w:vertAlign w:val="subscript"/>
        </w:rPr>
        <w:t>X</w:t>
      </w:r>
      <w:r w:rsidR="006E1809">
        <w:t xml:space="preserve">), bottom left represents </w:t>
      </w:r>
      <w:proofErr w:type="spellStart"/>
      <w:r w:rsidR="006E1809">
        <w:t>NOy</w:t>
      </w:r>
      <w:proofErr w:type="spellEnd"/>
      <w:r w:rsidR="006E1809">
        <w:t xml:space="preserve"> (all oxidized species), and bottom right the ratio of NO</w:t>
      </w:r>
      <w:r w:rsidR="006E1809" w:rsidRPr="36C9B2A4">
        <w:rPr>
          <w:vertAlign w:val="subscript"/>
        </w:rPr>
        <w:t>X</w:t>
      </w:r>
      <w:r w:rsidR="006E1809">
        <w:t xml:space="preserve"> to NO</w:t>
      </w:r>
      <w:r w:rsidR="006E1809" w:rsidRPr="36C9B2A4">
        <w:rPr>
          <w:vertAlign w:val="subscript"/>
        </w:rPr>
        <w:t>Y</w:t>
      </w:r>
      <w:r w:rsidR="006E1809">
        <w:t>.</w:t>
      </w:r>
    </w:p>
    <w:p w14:paraId="6A6B72F1" w14:textId="6A00D09C" w:rsidR="00E1261F" w:rsidRDefault="00E1261F" w:rsidP="2FD54C7E">
      <w:pPr>
        <w:spacing w:after="0" w:line="240" w:lineRule="auto"/>
        <w:ind w:left="0"/>
      </w:pPr>
    </w:p>
    <w:p w14:paraId="29F6401B" w14:textId="06C586D9" w:rsidR="00E1261F" w:rsidRDefault="20E091E8" w:rsidP="2FD54C7E">
      <w:pPr>
        <w:spacing w:after="0" w:line="240" w:lineRule="auto"/>
        <w:ind w:left="0"/>
      </w:pPr>
      <w:r w:rsidRPr="455D1EBA">
        <w:rPr>
          <w:b/>
          <w:bCs/>
        </w:rPr>
        <w:t>Figure S3.</w:t>
      </w:r>
      <w:r>
        <w:t xml:space="preserve"> </w:t>
      </w:r>
      <w:r w:rsidRPr="455D1EBA">
        <w:rPr>
          <w:b/>
          <w:bCs/>
        </w:rPr>
        <w:t>Number of sites used to calculate Normalized Mean Bias of morning NO</w:t>
      </w:r>
      <w:r w:rsidRPr="455D1EBA">
        <w:rPr>
          <w:b/>
          <w:bCs/>
          <w:vertAlign w:val="subscript"/>
        </w:rPr>
        <w:t>X</w:t>
      </w:r>
      <w:r w:rsidRPr="455D1EBA">
        <w:rPr>
          <w:b/>
          <w:bCs/>
        </w:rPr>
        <w:t xml:space="preserve"> in Figure S4</w:t>
      </w:r>
      <w:r w:rsidR="11F5BEE7" w:rsidRPr="455D1EBA">
        <w:rPr>
          <w:b/>
          <w:bCs/>
        </w:rPr>
        <w:t xml:space="preserve"> – S6</w:t>
      </w:r>
      <w:r w:rsidRPr="455D1EBA">
        <w:rPr>
          <w:b/>
          <w:bCs/>
        </w:rPr>
        <w:t>.</w:t>
      </w:r>
    </w:p>
    <w:p w14:paraId="4FA0585A" w14:textId="46F4A78A" w:rsidR="327A9501" w:rsidRDefault="327A9501" w:rsidP="2FD54C7E">
      <w:pPr>
        <w:spacing w:after="0" w:line="240" w:lineRule="auto"/>
        <w:ind w:left="0"/>
      </w:pPr>
      <w:r w:rsidRPr="2FD54C7E">
        <w:t>Morning hours considered are 4-9 a.m. LST. N</w:t>
      </w:r>
      <w:r w:rsidR="378E7C12" w:rsidRPr="2FD54C7E">
        <w:t>umber of sites</w:t>
      </w:r>
      <w:r w:rsidRPr="2FD54C7E">
        <w:t xml:space="preserve"> is shown by </w:t>
      </w:r>
      <w:r w:rsidR="44925B70" w:rsidRPr="2FD54C7E">
        <w:t xml:space="preserve">year and </w:t>
      </w:r>
      <w:r w:rsidRPr="2FD54C7E">
        <w:t>season.</w:t>
      </w:r>
    </w:p>
    <w:p w14:paraId="262ADE70" w14:textId="7DF27A6D" w:rsidR="2FD54C7E" w:rsidRDefault="2FD54C7E" w:rsidP="2FD54C7E">
      <w:pPr>
        <w:spacing w:after="0" w:line="240" w:lineRule="auto"/>
        <w:ind w:left="0"/>
      </w:pPr>
    </w:p>
    <w:p w14:paraId="677F82BB" w14:textId="2C9F640F" w:rsidR="3935BBA1" w:rsidRDefault="3935BBA1" w:rsidP="455D1EBA">
      <w:pPr>
        <w:spacing w:after="0" w:line="259" w:lineRule="auto"/>
        <w:ind w:left="0"/>
      </w:pPr>
      <w:r w:rsidRPr="455D1EBA">
        <w:rPr>
          <w:b/>
          <w:bCs/>
        </w:rPr>
        <w:t>Figure S4.</w:t>
      </w:r>
      <w:r>
        <w:t xml:space="preserve"> </w:t>
      </w:r>
      <w:r w:rsidRPr="455D1EBA">
        <w:rPr>
          <w:b/>
          <w:bCs/>
        </w:rPr>
        <w:t>Normalized Mean Bias (NMB) of morning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Morning hours are 4 – 9 a.m. LST. Data have been aggregated by season for each annual simulation across all monitors in US domain (Fig. S1).</w:t>
      </w:r>
    </w:p>
    <w:p w14:paraId="0B3DE587" w14:textId="4688DB76" w:rsidR="455D1EBA" w:rsidRDefault="455D1EBA" w:rsidP="455D1EBA">
      <w:pPr>
        <w:spacing w:after="0" w:line="240" w:lineRule="auto"/>
        <w:ind w:left="0"/>
      </w:pPr>
    </w:p>
    <w:p w14:paraId="0ABA75C3" w14:textId="57BC59D4" w:rsidR="537D3545" w:rsidRDefault="537D3545" w:rsidP="455D1EBA">
      <w:pPr>
        <w:spacing w:after="0" w:line="259" w:lineRule="auto"/>
        <w:ind w:left="0"/>
      </w:pPr>
      <w:r w:rsidRPr="455D1EBA">
        <w:rPr>
          <w:b/>
          <w:bCs/>
        </w:rPr>
        <w:t>Figure S5.</w:t>
      </w:r>
      <w:r>
        <w:t xml:space="preserve"> </w:t>
      </w:r>
      <w:r w:rsidRPr="455D1EBA">
        <w:rPr>
          <w:b/>
          <w:bCs/>
        </w:rPr>
        <w:t>Normalized Mean Bias (NMB) of midday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Midday hours are 11 a.m. – 3 p.m. LST. Data have been aggregated by season for each annual simulation across all monitors in US domain (Fig. S1).</w:t>
      </w:r>
    </w:p>
    <w:p w14:paraId="222941BC" w14:textId="69EF69C5" w:rsidR="455D1EBA" w:rsidRDefault="455D1EBA" w:rsidP="0048052C">
      <w:pPr>
        <w:pStyle w:val="NoSpacing"/>
      </w:pPr>
    </w:p>
    <w:p w14:paraId="3F08232D" w14:textId="6690D03D" w:rsidR="537D3545" w:rsidRDefault="537D3545" w:rsidP="455D1EBA">
      <w:pPr>
        <w:spacing w:after="0" w:line="259" w:lineRule="auto"/>
        <w:ind w:left="0"/>
      </w:pPr>
      <w:r w:rsidRPr="455D1EBA">
        <w:rPr>
          <w:b/>
          <w:bCs/>
        </w:rPr>
        <w:t>Figure S6.</w:t>
      </w:r>
      <w:r>
        <w:t xml:space="preserve"> </w:t>
      </w:r>
      <w:r w:rsidRPr="455D1EBA">
        <w:rPr>
          <w:b/>
          <w:bCs/>
        </w:rPr>
        <w:t>Normalized Mean Bias (NMB) of evening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Evening hours are 4 p.m. – 9 p.m. LST. Data have been aggregated by season for each annual simulation across all monitors in US domain (Fig. S1).</w:t>
      </w:r>
    </w:p>
    <w:p w14:paraId="64E68145" w14:textId="77777777" w:rsidR="0048052C" w:rsidRDefault="0048052C" w:rsidP="2FD54C7E">
      <w:pPr>
        <w:spacing w:after="0" w:line="240" w:lineRule="auto"/>
        <w:ind w:left="0"/>
        <w:jc w:val="both"/>
      </w:pPr>
    </w:p>
    <w:p w14:paraId="67060A99" w14:textId="2D31A728" w:rsidR="00E1261F" w:rsidRDefault="00E1261F" w:rsidP="2FD54C7E">
      <w:pPr>
        <w:spacing w:after="0" w:line="240" w:lineRule="auto"/>
        <w:ind w:left="0"/>
        <w:jc w:val="both"/>
      </w:pPr>
      <w:r w:rsidRPr="455D1EBA">
        <w:rPr>
          <w:b/>
          <w:bCs/>
        </w:rPr>
        <w:t>Figure S</w:t>
      </w:r>
      <w:r w:rsidR="67D6E4D5" w:rsidRPr="455D1EBA">
        <w:rPr>
          <w:b/>
          <w:bCs/>
        </w:rPr>
        <w:t>7</w:t>
      </w:r>
      <w:r w:rsidRPr="455D1EBA">
        <w:rPr>
          <w:b/>
          <w:bCs/>
        </w:rPr>
        <w:t>.</w:t>
      </w:r>
      <w:r>
        <w:t xml:space="preserve"> </w:t>
      </w:r>
      <w:r w:rsidR="00E46898" w:rsidRPr="455D1EBA">
        <w:rPr>
          <w:b/>
          <w:bCs/>
        </w:rPr>
        <w:t xml:space="preserve">Number of </w:t>
      </w:r>
      <w:r w:rsidRPr="455D1EBA">
        <w:rPr>
          <w:b/>
          <w:bCs/>
        </w:rPr>
        <w:t xml:space="preserve">sites used to calculate </w:t>
      </w:r>
      <w:r w:rsidR="00E46898" w:rsidRPr="455D1EBA">
        <w:rPr>
          <w:b/>
          <w:bCs/>
        </w:rPr>
        <w:t>Normalized Mean Bias</w:t>
      </w:r>
      <w:r w:rsidRPr="455D1EBA">
        <w:rPr>
          <w:b/>
          <w:bCs/>
        </w:rPr>
        <w:t xml:space="preserve"> of morning NO</w:t>
      </w:r>
      <w:r w:rsidRPr="455D1EBA">
        <w:rPr>
          <w:b/>
          <w:bCs/>
          <w:vertAlign w:val="subscript"/>
        </w:rPr>
        <w:t>X</w:t>
      </w:r>
      <w:r w:rsidRPr="455D1EBA">
        <w:rPr>
          <w:b/>
          <w:bCs/>
        </w:rPr>
        <w:t xml:space="preserve"> in Figure 4.</w:t>
      </w:r>
      <w:r>
        <w:t xml:space="preserve">  </w:t>
      </w:r>
      <w:r w:rsidR="00E46898">
        <w:t>Morning hours considered are 4-9 a.m. LST. N</w:t>
      </w:r>
      <w:r w:rsidR="0FF90AF5">
        <w:t xml:space="preserve">umber of sites </w:t>
      </w:r>
      <w:r w:rsidR="00E46898">
        <w:t xml:space="preserve">is shown by region and year/season. </w:t>
      </w:r>
      <w:r>
        <w:t xml:space="preserve">West = CA, NV; Northwest  = OR, WA, ID, MT, NE, ND, SD, WY; Upper Midwest = IA, MI, MN, WI; Ohio Valley = IL, IN, KY, </w:t>
      </w:r>
      <w:r>
        <w:lastRenderedPageBreak/>
        <w:t xml:space="preserve">MO, OH, TN, WV; Northeast = CT, DE, ME, MD, MA, NH, MJ, NY, PA, RI, VT; Southwest = AZ, CO, NM, UT; South = AR, KS, LA, MS, OK, TX; Southeast = AL, FL, GA, NC, SC, VA </w:t>
      </w:r>
    </w:p>
    <w:p w14:paraId="6DD171A9" w14:textId="77777777" w:rsidR="00E1261F" w:rsidRDefault="00E1261F" w:rsidP="00E1261F">
      <w:pPr>
        <w:spacing w:after="0" w:line="240" w:lineRule="auto"/>
        <w:ind w:left="0"/>
        <w:rPr>
          <w:rFonts w:cstheme="minorHAnsi"/>
          <w:iCs/>
        </w:rPr>
      </w:pPr>
    </w:p>
    <w:p w14:paraId="66525E75" w14:textId="2B79C7C1" w:rsidR="00E1261F" w:rsidRDefault="3CFCDC51" w:rsidP="455D1EBA">
      <w:pPr>
        <w:pStyle w:val="Caption"/>
        <w:spacing w:after="0"/>
        <w:ind w:left="0"/>
        <w:rPr>
          <w:color w:val="auto"/>
          <w:sz w:val="22"/>
          <w:szCs w:val="22"/>
        </w:rPr>
      </w:pPr>
      <w:r w:rsidRPr="0048052C">
        <w:rPr>
          <w:b/>
          <w:bCs/>
          <w:color w:val="auto"/>
          <w:sz w:val="22"/>
          <w:szCs w:val="22"/>
        </w:rPr>
        <w:t>Figure S8. METAR stations</w:t>
      </w:r>
      <w:r w:rsidR="55EC405F" w:rsidRPr="455D1EBA">
        <w:rPr>
          <w:b/>
          <w:bCs/>
          <w:color w:val="auto"/>
          <w:sz w:val="22"/>
          <w:szCs w:val="22"/>
        </w:rPr>
        <w:t xml:space="preserve">.  </w:t>
      </w:r>
      <w:r w:rsidR="55EC405F" w:rsidRPr="455D1EBA">
        <w:rPr>
          <w:color w:val="auto"/>
          <w:sz w:val="22"/>
          <w:szCs w:val="22"/>
        </w:rPr>
        <w:t>Weather stations</w:t>
      </w:r>
      <w:r w:rsidRPr="455D1EBA">
        <w:rPr>
          <w:color w:val="auto"/>
          <w:sz w:val="22"/>
          <w:szCs w:val="22"/>
        </w:rPr>
        <w:t xml:space="preserve"> used to evaluate the WRF meteorological model in Figures S9 – S11.</w:t>
      </w:r>
    </w:p>
    <w:p w14:paraId="2E6D20E1" w14:textId="1B51EC3F" w:rsidR="00E1261F" w:rsidRDefault="00E1261F" w:rsidP="455D1EBA">
      <w:pPr>
        <w:pStyle w:val="Caption"/>
        <w:spacing w:after="0"/>
        <w:ind w:left="0"/>
        <w:rPr>
          <w:b/>
          <w:bCs/>
          <w:color w:val="auto"/>
          <w:sz w:val="22"/>
          <w:szCs w:val="22"/>
        </w:rPr>
      </w:pPr>
    </w:p>
    <w:p w14:paraId="54CD087D" w14:textId="6251DEF0" w:rsidR="00E1261F" w:rsidRDefault="7EA0E3E3" w:rsidP="455D1EBA">
      <w:pPr>
        <w:pStyle w:val="Caption"/>
        <w:spacing w:after="0"/>
        <w:ind w:left="0"/>
        <w:rPr>
          <w:color w:val="auto"/>
          <w:sz w:val="22"/>
          <w:szCs w:val="22"/>
        </w:rPr>
      </w:pPr>
      <w:r w:rsidRPr="455D1EBA">
        <w:rPr>
          <w:b/>
          <w:bCs/>
          <w:color w:val="auto"/>
          <w:sz w:val="22"/>
          <w:szCs w:val="22"/>
        </w:rPr>
        <w:t>Figure S9.  Mean Bias (MB) of 2 m</w:t>
      </w:r>
      <w:r w:rsidR="00B11622">
        <w:rPr>
          <w:b/>
          <w:bCs/>
          <w:color w:val="auto"/>
          <w:sz w:val="22"/>
          <w:szCs w:val="22"/>
        </w:rPr>
        <w:t>eters</w:t>
      </w:r>
      <w:r w:rsidRPr="455D1EBA">
        <w:rPr>
          <w:b/>
          <w:bCs/>
          <w:color w:val="auto"/>
          <w:sz w:val="22"/>
          <w:szCs w:val="22"/>
        </w:rPr>
        <w:t xml:space="preserve"> temperature. </w:t>
      </w:r>
      <w:r w:rsidRPr="0048052C">
        <w:rPr>
          <w:color w:val="auto"/>
          <w:sz w:val="22"/>
          <w:szCs w:val="22"/>
        </w:rPr>
        <w:t xml:space="preserve">Data have been aggregated by season for each annual simulation across all METAR stations in US domain (Fig. S8).  </w:t>
      </w:r>
    </w:p>
    <w:p w14:paraId="08703A52" w14:textId="58B033B3" w:rsidR="00E1261F" w:rsidRDefault="00E1261F" w:rsidP="0048052C">
      <w:pPr>
        <w:pStyle w:val="NoSpacing"/>
      </w:pPr>
    </w:p>
    <w:p w14:paraId="44AEB890" w14:textId="27174C3D" w:rsidR="00E1261F" w:rsidRPr="0048052C" w:rsidRDefault="7EA0E3E3" w:rsidP="0048052C">
      <w:pPr>
        <w:spacing w:line="240" w:lineRule="auto"/>
        <w:ind w:left="0"/>
        <w:rPr>
          <w:rFonts w:ascii="Calibri" w:eastAsia="Calibri" w:hAnsi="Calibri" w:cs="Calibri"/>
        </w:rPr>
      </w:pPr>
      <w:r w:rsidRPr="0048052C">
        <w:rPr>
          <w:rFonts w:ascii="Calibri" w:eastAsia="Calibri" w:hAnsi="Calibri" w:cs="Calibri"/>
          <w:b/>
          <w:bCs/>
        </w:rPr>
        <w:t>Figure S10.  Mean Bias (MB) of 10 m</w:t>
      </w:r>
      <w:r w:rsidR="00B11622">
        <w:rPr>
          <w:rFonts w:ascii="Calibri" w:eastAsia="Calibri" w:hAnsi="Calibri" w:cs="Calibri"/>
          <w:b/>
          <w:bCs/>
        </w:rPr>
        <w:t>eters</w:t>
      </w:r>
      <w:r w:rsidRPr="0048052C">
        <w:rPr>
          <w:rFonts w:ascii="Calibri" w:eastAsia="Calibri" w:hAnsi="Calibri" w:cs="Calibri"/>
          <w:b/>
          <w:bCs/>
        </w:rPr>
        <w:t xml:space="preserve"> </w:t>
      </w:r>
      <w:proofErr w:type="spellStart"/>
      <w:r w:rsidRPr="0048052C">
        <w:rPr>
          <w:rFonts w:ascii="Calibri" w:eastAsia="Calibri" w:hAnsi="Calibri" w:cs="Calibri"/>
          <w:b/>
          <w:bCs/>
        </w:rPr>
        <w:t>windspeed</w:t>
      </w:r>
      <w:proofErr w:type="spellEnd"/>
      <w:r w:rsidRPr="0048052C">
        <w:rPr>
          <w:rFonts w:ascii="Calibri" w:eastAsia="Calibri" w:hAnsi="Calibri" w:cs="Calibri"/>
          <w:b/>
          <w:bCs/>
        </w:rPr>
        <w:t xml:space="preserve">. </w:t>
      </w:r>
      <w:r w:rsidRPr="0048052C">
        <w:rPr>
          <w:rFonts w:ascii="Calibri" w:eastAsia="Calibri" w:hAnsi="Calibri" w:cs="Calibri"/>
        </w:rPr>
        <w:t>Data have been aggregated by season for each annual simulation across all METAR stations in US domain (Fig. S8).</w:t>
      </w:r>
    </w:p>
    <w:p w14:paraId="57926043" w14:textId="153578E8" w:rsidR="00E1261F" w:rsidRPr="0048052C" w:rsidRDefault="7EA0E3E3" w:rsidP="0048052C">
      <w:pPr>
        <w:spacing w:line="240" w:lineRule="auto"/>
        <w:ind w:left="0"/>
        <w:rPr>
          <w:rFonts w:ascii="Calibri" w:eastAsia="Calibri" w:hAnsi="Calibri" w:cs="Calibri"/>
        </w:rPr>
      </w:pPr>
      <w:r w:rsidRPr="0048052C">
        <w:rPr>
          <w:rFonts w:ascii="Calibri" w:eastAsia="Calibri" w:hAnsi="Calibri" w:cs="Calibri"/>
          <w:b/>
          <w:bCs/>
        </w:rPr>
        <w:t>Figure S11.  Mean Bias (MB) of 2 m</w:t>
      </w:r>
      <w:r w:rsidR="00B11622">
        <w:rPr>
          <w:rFonts w:ascii="Calibri" w:eastAsia="Calibri" w:hAnsi="Calibri" w:cs="Calibri"/>
          <w:b/>
          <w:bCs/>
        </w:rPr>
        <w:t>eters</w:t>
      </w:r>
      <w:r w:rsidRPr="0048052C">
        <w:rPr>
          <w:rFonts w:ascii="Calibri" w:eastAsia="Calibri" w:hAnsi="Calibri" w:cs="Calibri"/>
          <w:b/>
          <w:bCs/>
        </w:rPr>
        <w:t xml:space="preserve"> water vapor mixing ratio. </w:t>
      </w:r>
      <w:r w:rsidRPr="0048052C">
        <w:rPr>
          <w:rFonts w:ascii="Calibri" w:eastAsia="Calibri" w:hAnsi="Calibri" w:cs="Calibri"/>
        </w:rPr>
        <w:t>Water vapor mixing ratio is a measure of the moisture in the air and is approximately equal to specific humidity.</w:t>
      </w:r>
      <w:r w:rsidRPr="0048052C">
        <w:rPr>
          <w:rFonts w:ascii="Calibri" w:eastAsia="Calibri" w:hAnsi="Calibri" w:cs="Calibri"/>
          <w:b/>
          <w:bCs/>
        </w:rPr>
        <w:t xml:space="preserve"> </w:t>
      </w:r>
      <w:r w:rsidRPr="0048052C">
        <w:rPr>
          <w:rFonts w:ascii="Calibri" w:eastAsia="Calibri" w:hAnsi="Calibri" w:cs="Calibri"/>
        </w:rPr>
        <w:t>Data have been aggregated by season for each annual simulation across all METAR stations in US domain (Fig. S8).</w:t>
      </w:r>
    </w:p>
    <w:p w14:paraId="48849F32" w14:textId="21882A4C" w:rsidR="00E1261F" w:rsidRDefault="22B236BD" w:rsidP="455D1EBA">
      <w:pPr>
        <w:spacing w:after="0" w:line="240" w:lineRule="auto"/>
        <w:ind w:left="0"/>
      </w:pPr>
      <w:r w:rsidRPr="455D1EBA">
        <w:rPr>
          <w:b/>
          <w:bCs/>
        </w:rPr>
        <w:t>Figure S</w:t>
      </w:r>
      <w:r w:rsidR="3076275C" w:rsidRPr="455D1EBA">
        <w:rPr>
          <w:b/>
          <w:bCs/>
        </w:rPr>
        <w:t>12</w:t>
      </w:r>
      <w:r w:rsidRPr="455D1EBA">
        <w:rPr>
          <w:b/>
          <w:bCs/>
        </w:rPr>
        <w:t>.</w:t>
      </w:r>
      <w:r>
        <w:t xml:space="preserve"> </w:t>
      </w:r>
      <w:r w:rsidRPr="455D1EBA">
        <w:rPr>
          <w:b/>
          <w:bCs/>
        </w:rPr>
        <w:t>Normalized Mean Error (NME) of morning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Morning hours are 4-9 a.m. LST. Data has been aggregated by season for each annual simulation across monitors in multiple regions defined by NOAA climate region (Fig. S1). West = CA, NV; Northwest = OR, WA, ID, MT, NE, ND, SD, WY; Upper Midwest = IA, MI, MN, WI; Ohio Valley = IL, IN, KY, MO, OH, TN, WV; Northeast = CT, DE, ME, MD, MA, NH, MJ, NY, PA, RI, VT; Southwest = AZ, CO, NM, UT; South = AR, KS, LA, MS, OK, TX; Southeast = AL, FL, GA, NC, SC, VA</w:t>
      </w:r>
    </w:p>
    <w:p w14:paraId="12BE417F" w14:textId="77777777" w:rsidR="00E1261F" w:rsidRDefault="00E1261F" w:rsidP="455D1EBA">
      <w:pPr>
        <w:spacing w:after="0" w:line="240" w:lineRule="auto"/>
        <w:ind w:left="0"/>
      </w:pPr>
    </w:p>
    <w:p w14:paraId="333D5BF4" w14:textId="2EB385BC" w:rsidR="00E1261F" w:rsidRDefault="22B236BD" w:rsidP="455D1EBA">
      <w:pPr>
        <w:spacing w:after="0" w:line="240" w:lineRule="auto"/>
        <w:ind w:left="0"/>
      </w:pPr>
      <w:r w:rsidRPr="455D1EBA">
        <w:rPr>
          <w:b/>
          <w:bCs/>
        </w:rPr>
        <w:t>Figure S</w:t>
      </w:r>
      <w:r w:rsidR="2EABBC2D" w:rsidRPr="455D1EBA">
        <w:rPr>
          <w:b/>
          <w:bCs/>
        </w:rPr>
        <w:t>13</w:t>
      </w:r>
      <w:r>
        <w:t xml:space="preserve">. </w:t>
      </w:r>
      <w:r w:rsidRPr="455D1EBA">
        <w:rPr>
          <w:b/>
          <w:bCs/>
        </w:rPr>
        <w:t>Correlation (R</w:t>
      </w:r>
      <w:r w:rsidRPr="455D1EBA">
        <w:rPr>
          <w:b/>
          <w:bCs/>
          <w:vertAlign w:val="superscript"/>
        </w:rPr>
        <w:t>2</w:t>
      </w:r>
      <w:r w:rsidRPr="455D1EBA">
        <w:rPr>
          <w:b/>
          <w:bCs/>
        </w:rPr>
        <w:t>) of morning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Morning hours are 4-9 a.m. LST. Data has been aggregated by season for each annual simulation across monitors in multiple regions defined by NOAA climate region (Fig. S1). West = CA, NV; Northwest = OR, WA, ID, MT, NE, ND, SD, WY; Upper Midwest = IA, MI, MN, WI; Ohio Valley = IL, IN, KY, MO, OH, TN, WV; Northeast = CT, DE, ME, MD, MA, NH, MJ, NY, PA, RI, VT; Southwest = AZ, CO, NM, UT; South = AR, KS, LA, MS, OK, TX; Southeast = AL, FL, GA, NC, SC, VA</w:t>
      </w:r>
    </w:p>
    <w:p w14:paraId="1649C1B4" w14:textId="2E4CC7EE" w:rsidR="00E1261F" w:rsidRDefault="00E1261F" w:rsidP="0048052C">
      <w:pPr>
        <w:pStyle w:val="NoSpacing"/>
        <w:ind w:left="0"/>
      </w:pPr>
    </w:p>
    <w:p w14:paraId="73A00682" w14:textId="11EB35E5" w:rsidR="00E1261F" w:rsidRPr="0048052C" w:rsidRDefault="2455E0CC" w:rsidP="0048052C">
      <w:pPr>
        <w:pStyle w:val="NoSpacing"/>
        <w:ind w:left="0"/>
        <w:rPr>
          <w:b/>
          <w:bCs/>
          <w:vertAlign w:val="subscript"/>
        </w:rPr>
      </w:pPr>
      <w:r w:rsidRPr="0048052C">
        <w:rPr>
          <w:b/>
          <w:bCs/>
        </w:rPr>
        <w:t xml:space="preserve">Figure </w:t>
      </w:r>
      <w:r w:rsidR="0048052C" w:rsidRPr="0048052C">
        <w:rPr>
          <w:b/>
          <w:bCs/>
          <w:iCs/>
        </w:rPr>
        <w:t>S</w:t>
      </w:r>
      <w:r w:rsidRPr="0048052C">
        <w:rPr>
          <w:b/>
          <w:bCs/>
        </w:rPr>
        <w:t>14. As in Figure 5 of the main paper, but for modeled NO</w:t>
      </w:r>
      <w:r w:rsidRPr="0048052C">
        <w:rPr>
          <w:b/>
          <w:bCs/>
          <w:vertAlign w:val="subscript"/>
        </w:rPr>
        <w:t>Y</w:t>
      </w:r>
      <w:r w:rsidRPr="0048052C">
        <w:rPr>
          <w:rFonts w:eastAsia="Times New Roman"/>
          <w:b/>
          <w:bCs/>
        </w:rPr>
        <w:t xml:space="preserve"> – </w:t>
      </w:r>
      <w:r w:rsidRPr="0048052C">
        <w:rPr>
          <w:b/>
          <w:bCs/>
        </w:rPr>
        <w:t>observed NO</w:t>
      </w:r>
      <w:r w:rsidRPr="0048052C">
        <w:rPr>
          <w:b/>
          <w:bCs/>
          <w:vertAlign w:val="subscript"/>
        </w:rPr>
        <w:t>X</w:t>
      </w:r>
    </w:p>
    <w:p w14:paraId="077F4C31" w14:textId="77777777" w:rsidR="0048052C" w:rsidRPr="0048052C" w:rsidRDefault="0048052C" w:rsidP="0048052C">
      <w:pPr>
        <w:pStyle w:val="NoSpacing"/>
        <w:ind w:left="0"/>
        <w:rPr>
          <w:sz w:val="17"/>
          <w:szCs w:val="17"/>
        </w:rPr>
      </w:pPr>
    </w:p>
    <w:p w14:paraId="00FE9DC7" w14:textId="6DD90F00" w:rsidR="00E1261F" w:rsidRDefault="00E1261F" w:rsidP="0048052C">
      <w:pPr>
        <w:pStyle w:val="NoSpacing"/>
        <w:ind w:left="0"/>
      </w:pPr>
      <w:r w:rsidRPr="0048052C">
        <w:rPr>
          <w:b/>
          <w:bCs/>
        </w:rPr>
        <w:t>Figure S</w:t>
      </w:r>
      <w:r w:rsidR="2B16E5CF" w:rsidRPr="0048052C">
        <w:rPr>
          <w:b/>
          <w:bCs/>
        </w:rPr>
        <w:t>15</w:t>
      </w:r>
      <w:r w:rsidRPr="0048052C">
        <w:rPr>
          <w:b/>
          <w:bCs/>
        </w:rPr>
        <w:t>. Mean bias of morning Modeled NO</w:t>
      </w:r>
      <w:r w:rsidRPr="0048052C">
        <w:rPr>
          <w:b/>
          <w:bCs/>
          <w:vertAlign w:val="subscript"/>
        </w:rPr>
        <w:t>X</w:t>
      </w:r>
      <w:r w:rsidRPr="0048052C">
        <w:rPr>
          <w:b/>
          <w:bCs/>
        </w:rPr>
        <w:t xml:space="preserve"> and Observed NO</w:t>
      </w:r>
      <w:r w:rsidRPr="0048052C">
        <w:rPr>
          <w:b/>
          <w:bCs/>
          <w:vertAlign w:val="subscript"/>
        </w:rPr>
        <w:t>X</w:t>
      </w:r>
      <w:r w:rsidRPr="0048052C">
        <w:rPr>
          <w:b/>
          <w:bCs/>
        </w:rPr>
        <w:t xml:space="preserve"> at surface monitors for 2002–2016</w:t>
      </w:r>
      <w:r w:rsidR="00BF17BF" w:rsidRPr="0048052C">
        <w:rPr>
          <w:b/>
          <w:bCs/>
        </w:rPr>
        <w:t>.</w:t>
      </w:r>
      <w:r w:rsidR="00BF17BF" w:rsidRPr="0048052C">
        <w:t xml:space="preserve"> </w:t>
      </w:r>
      <w:r w:rsidR="00BF17BF" w:rsidRPr="455D1EBA">
        <w:t xml:space="preserve">Morning hours are 4-9 a.m. LST. </w:t>
      </w:r>
      <w:r w:rsidRPr="455D1EBA">
        <w:t xml:space="preserve"> </w:t>
      </w:r>
      <w:r w:rsidR="00BF17BF" w:rsidRPr="455D1EBA">
        <w:t xml:space="preserve">Data has been </w:t>
      </w:r>
      <w:r w:rsidRPr="455D1EBA">
        <w:t>aggregated for winter (left column) and summer (right column) months. Warm colors indicate model over-prediction and cool colors under-prediction.</w:t>
      </w:r>
    </w:p>
    <w:p w14:paraId="3B2151EF" w14:textId="77777777" w:rsidR="00472EA9" w:rsidRDefault="00472EA9" w:rsidP="0048052C">
      <w:pPr>
        <w:pStyle w:val="NoSpacing"/>
        <w:ind w:left="0"/>
      </w:pPr>
    </w:p>
    <w:p w14:paraId="2CA8DEB3" w14:textId="54387136" w:rsidR="00E1261F" w:rsidRPr="0058197C" w:rsidRDefault="00E1261F" w:rsidP="2FD54C7E">
      <w:pPr>
        <w:spacing w:line="240" w:lineRule="auto"/>
        <w:ind w:left="0"/>
      </w:pPr>
      <w:r w:rsidRPr="2FD54C7E">
        <w:rPr>
          <w:b/>
          <w:bCs/>
        </w:rPr>
        <w:t>Figure S</w:t>
      </w:r>
      <w:r w:rsidR="00472EA9">
        <w:rPr>
          <w:b/>
          <w:bCs/>
        </w:rPr>
        <w:t>16</w:t>
      </w:r>
      <w:r w:rsidRPr="2FD54C7E">
        <w:rPr>
          <w:b/>
          <w:bCs/>
        </w:rPr>
        <w:t>.</w:t>
      </w:r>
      <w:r w:rsidRPr="2FD54C7E">
        <w:t xml:space="preserve"> </w:t>
      </w:r>
      <w:proofErr w:type="spellStart"/>
      <w:r w:rsidRPr="2FD54C7E">
        <w:rPr>
          <w:b/>
          <w:bCs/>
        </w:rPr>
        <w:t>Nonroad</w:t>
      </w:r>
      <w:proofErr w:type="spellEnd"/>
      <w:r w:rsidRPr="2FD54C7E">
        <w:rPr>
          <w:b/>
          <w:bCs/>
        </w:rPr>
        <w:t xml:space="preserve"> diurnal emissions profiles used in </w:t>
      </w:r>
      <w:r w:rsidR="00BF17BF" w:rsidRPr="2FD54C7E">
        <w:rPr>
          <w:b/>
          <w:bCs/>
        </w:rPr>
        <w:t>sensitivity test</w:t>
      </w:r>
      <w:r w:rsidR="00BF17BF" w:rsidRPr="2FD54C7E">
        <w:t xml:space="preserve">. The </w:t>
      </w:r>
      <w:r w:rsidRPr="2FD54C7E">
        <w:t xml:space="preserve">2011 base simulation (“old”) and sensitivity simulation </w:t>
      </w:r>
      <w:r w:rsidR="00BF17BF" w:rsidRPr="2FD54C7E">
        <w:t xml:space="preserve">are shown </w:t>
      </w:r>
      <w:r w:rsidRPr="2FD54C7E">
        <w:t xml:space="preserve">for </w:t>
      </w:r>
      <w:r w:rsidR="00BF17BF" w:rsidRPr="2FD54C7E">
        <w:t xml:space="preserve">the following sectors: </w:t>
      </w:r>
      <w:r w:rsidRPr="2FD54C7E">
        <w:t>construction equipment, residential lawn and garden equipment, commercial lawn</w:t>
      </w:r>
      <w:r w:rsidR="00BF17BF" w:rsidRPr="2FD54C7E">
        <w:t xml:space="preserve"> and </w:t>
      </w:r>
      <w:r w:rsidRPr="2FD54C7E">
        <w:t>garden</w:t>
      </w:r>
      <w:r w:rsidR="00BF17BF" w:rsidRPr="2FD54C7E">
        <w:t xml:space="preserve"> equipment</w:t>
      </w:r>
      <w:r w:rsidRPr="2FD54C7E">
        <w:t xml:space="preserve"> and agricultural equipment.</w:t>
      </w:r>
    </w:p>
    <w:p w14:paraId="65744AC6" w14:textId="7F9DAE59" w:rsidR="00E1261F" w:rsidRDefault="00E1261F" w:rsidP="00E1261F">
      <w:pPr>
        <w:pStyle w:val="NoSpacing"/>
        <w:ind w:left="0"/>
        <w:jc w:val="both"/>
      </w:pPr>
      <w:r w:rsidRPr="2FD54C7E">
        <w:rPr>
          <w:b/>
          <w:bCs/>
        </w:rPr>
        <w:t>Figure S</w:t>
      </w:r>
      <w:r w:rsidR="236061BA" w:rsidRPr="2FD54C7E">
        <w:rPr>
          <w:b/>
          <w:bCs/>
        </w:rPr>
        <w:t>1</w:t>
      </w:r>
      <w:r w:rsidR="00472EA9">
        <w:rPr>
          <w:b/>
          <w:bCs/>
        </w:rPr>
        <w:t>7</w:t>
      </w:r>
      <w:r w:rsidRPr="2FD54C7E">
        <w:rPr>
          <w:b/>
          <w:bCs/>
        </w:rPr>
        <w:t>.</w:t>
      </w:r>
      <w:r>
        <w:t xml:space="preserve"> </w:t>
      </w:r>
      <w:r w:rsidRPr="2FD54C7E">
        <w:rPr>
          <w:b/>
          <w:bCs/>
        </w:rPr>
        <w:t xml:space="preserve">Map of counties and parishes </w:t>
      </w:r>
      <w:r w:rsidR="00F30196" w:rsidRPr="2FD54C7E">
        <w:rPr>
          <w:b/>
          <w:bCs/>
        </w:rPr>
        <w:t xml:space="preserve">depicting source of temporal data. </w:t>
      </w:r>
      <w:r w:rsidR="00F30196">
        <w:t>Locations shown in grey indicate that</w:t>
      </w:r>
      <w:r>
        <w:t xml:space="preserve"> EPA default data</w:t>
      </w:r>
      <w:r w:rsidR="00BF17BF">
        <w:t xml:space="preserve"> </w:t>
      </w:r>
      <w:r w:rsidR="00F30196">
        <w:t>(</w:t>
      </w:r>
      <w:r w:rsidR="00BF17BF">
        <w:t>derived from VTRIS</w:t>
      </w:r>
      <w:r w:rsidR="00F30196">
        <w:t>)</w:t>
      </w:r>
      <w:r>
        <w:t xml:space="preserve"> was used vs. state submitted data (green and yellow). Sensitivity run #2 replaced all state-submitted temporal profile data with EPA VTRIS derived profiles (except California).</w:t>
      </w:r>
    </w:p>
    <w:p w14:paraId="39656E4A" w14:textId="77777777" w:rsidR="00E1261F" w:rsidRPr="00920007" w:rsidRDefault="00E1261F" w:rsidP="00E1261F">
      <w:pPr>
        <w:pStyle w:val="NoSpacing"/>
        <w:ind w:left="0"/>
        <w:jc w:val="both"/>
      </w:pPr>
    </w:p>
    <w:p w14:paraId="06560B33" w14:textId="77777777" w:rsidR="006E1809" w:rsidRPr="0058197C" w:rsidRDefault="006E1809" w:rsidP="006E1809">
      <w:pPr>
        <w:spacing w:line="240" w:lineRule="auto"/>
        <w:ind w:left="0"/>
      </w:pPr>
      <w:r w:rsidRPr="36C9B2A4">
        <w:rPr>
          <w:b/>
          <w:bCs/>
        </w:rPr>
        <w:t>Figure S18.</w:t>
      </w:r>
      <w:r>
        <w:t xml:space="preserve"> </w:t>
      </w:r>
      <w:r w:rsidRPr="36C9B2A4">
        <w:rPr>
          <w:b/>
          <w:bCs/>
        </w:rPr>
        <w:t>Example day-of-year temporal profile for EGU sources (fuel = “other”) in Eastern Virginia</w:t>
      </w:r>
      <w:r>
        <w:t>. X-axis provides Julian day for 2011.  Y-axis provides fractional attribution of annual emissions to each day of the year. Up to 7% of the annual emissions are emitted on a single day.</w:t>
      </w:r>
    </w:p>
    <w:p w14:paraId="38D28ABA" w14:textId="2140B484" w:rsidR="00357B89" w:rsidRDefault="0781CFB5" w:rsidP="00357B89">
      <w:pPr>
        <w:spacing w:after="0" w:line="240" w:lineRule="auto"/>
        <w:ind w:left="0"/>
      </w:pPr>
      <w:r w:rsidRPr="0727A76A">
        <w:rPr>
          <w:b/>
          <w:bCs/>
        </w:rPr>
        <w:lastRenderedPageBreak/>
        <w:t>Figure S19.</w:t>
      </w:r>
      <w:r>
        <w:t xml:space="preserve"> </w:t>
      </w:r>
      <w:r w:rsidRPr="0727A76A">
        <w:rPr>
          <w:b/>
          <w:bCs/>
        </w:rPr>
        <w:t>Change in the July 2011 average of modeled NO</w:t>
      </w:r>
      <w:r w:rsidRPr="0727A76A">
        <w:rPr>
          <w:b/>
          <w:bCs/>
          <w:vertAlign w:val="subscript"/>
        </w:rPr>
        <w:t>X</w:t>
      </w:r>
      <w:r w:rsidRPr="0727A76A">
        <w:rPr>
          <w:b/>
          <w:bCs/>
        </w:rPr>
        <w:t xml:space="preserve"> </w:t>
      </w:r>
      <w:r w:rsidR="00A85C66">
        <w:rPr>
          <w:b/>
          <w:bCs/>
        </w:rPr>
        <w:t>mixing ratio</w:t>
      </w:r>
      <w:r w:rsidR="00A85C66" w:rsidRPr="0727A76A">
        <w:rPr>
          <w:b/>
          <w:bCs/>
        </w:rPr>
        <w:t xml:space="preserve"> </w:t>
      </w:r>
      <w:r w:rsidRPr="0727A76A">
        <w:rPr>
          <w:b/>
          <w:bCs/>
        </w:rPr>
        <w:t>(ppb) resulting from sensitivity tests</w:t>
      </w:r>
      <w:r>
        <w:t xml:space="preserve">. (a) </w:t>
      </w:r>
      <w:proofErr w:type="spellStart"/>
      <w:r>
        <w:t>nonroad</w:t>
      </w:r>
      <w:proofErr w:type="spellEnd"/>
      <w:r>
        <w:t xml:space="preserve"> emissions adjustments, (b) alternative heavy-duty </w:t>
      </w:r>
      <w:proofErr w:type="spellStart"/>
      <w:r>
        <w:t>onroad</w:t>
      </w:r>
      <w:proofErr w:type="spellEnd"/>
      <w:r>
        <w:t xml:space="preserve"> temporal profiles, (c) alternative temporal allocation of CEMs for year 2011 (12-km horizontal grid resolution, all hours averaged) and d)</w:t>
      </w:r>
      <w:r w:rsidR="55CC32E6">
        <w:t xml:space="preserve"> CB6 chemical mechanism versus CB05 chemical mechanism (12-km horizontal grid resolution, all hours averaged</w:t>
      </w:r>
      <w:proofErr w:type="gramStart"/>
      <w:r w:rsidR="55CC32E6">
        <w:t>)</w:t>
      </w:r>
      <w:r>
        <w:t xml:space="preserve"> .</w:t>
      </w:r>
      <w:proofErr w:type="gramEnd"/>
      <w:r>
        <w:t xml:space="preserve"> </w:t>
      </w:r>
    </w:p>
    <w:p w14:paraId="69998C21" w14:textId="77777777" w:rsidR="00357B89" w:rsidRDefault="00357B89" w:rsidP="00357B89">
      <w:pPr>
        <w:spacing w:after="0" w:line="240" w:lineRule="auto"/>
        <w:ind w:left="0"/>
      </w:pPr>
    </w:p>
    <w:p w14:paraId="0938A093" w14:textId="39FC1B6F" w:rsidR="6C9B8DC4" w:rsidRDefault="00A85C66" w:rsidP="6C9B8DC4">
      <w:pPr>
        <w:spacing w:after="0" w:line="240" w:lineRule="auto"/>
        <w:ind w:left="0"/>
        <w:rPr>
          <w:b/>
          <w:bCs/>
        </w:rPr>
      </w:pPr>
      <w:bookmarkStart w:id="2" w:name="_Hlk66346983"/>
      <w:r>
        <w:rPr>
          <w:b/>
          <w:bCs/>
        </w:rPr>
        <w:t>Figure S20.</w:t>
      </w:r>
      <w:r>
        <w:t xml:space="preserve"> </w:t>
      </w:r>
      <w:r>
        <w:rPr>
          <w:b/>
          <w:bCs/>
        </w:rPr>
        <w:t>Change in modeled NOX mixing ratio (ppb) resulting from updating from CMAQv5.0.2 to CMAQv5.1</w:t>
      </w:r>
      <w:bookmarkEnd w:id="2"/>
      <w:r w:rsidR="009A6BCD" w:rsidRPr="009A6BCD">
        <w:t xml:space="preserve"> </w:t>
      </w:r>
      <w:r w:rsidR="009A6BCD">
        <w:t>Maps show the spatial distribution of this change for (a) January 2011 average 4am – 9am LST NO</w:t>
      </w:r>
      <w:r w:rsidR="009A6BCD" w:rsidRPr="009A6BCD">
        <w:rPr>
          <w:vertAlign w:val="subscript"/>
        </w:rPr>
        <w:t>X</w:t>
      </w:r>
      <w:r w:rsidR="009A6BCD">
        <w:t xml:space="preserve"> from CMAQv5.0.2 simulation, (b) same as (a) but for July 2011, (c-d) difference between CMAQv5.1 and CMAQv5.0.2, (e-f) difference between meteorology sensitivity and CMAQv5.0.2, (g-h) difference between CMAQv5.1 and meteorology sensitivity.</w:t>
      </w:r>
    </w:p>
    <w:p w14:paraId="75BAA521" w14:textId="77777777" w:rsidR="00A85C66" w:rsidRDefault="00A85C66" w:rsidP="6C9B8DC4">
      <w:pPr>
        <w:spacing w:after="0" w:line="240" w:lineRule="auto"/>
        <w:ind w:left="0"/>
      </w:pPr>
    </w:p>
    <w:p w14:paraId="116671A4" w14:textId="2FE56B49" w:rsidR="00472EA9" w:rsidRDefault="00472EA9" w:rsidP="6C9B8DC4">
      <w:pPr>
        <w:spacing w:after="0" w:line="240" w:lineRule="auto"/>
        <w:ind w:left="0"/>
        <w:rPr>
          <w:b/>
          <w:bCs/>
        </w:rPr>
      </w:pPr>
      <w:r w:rsidRPr="6C9B8DC4">
        <w:rPr>
          <w:b/>
          <w:bCs/>
        </w:rPr>
        <w:t>Figure S2</w:t>
      </w:r>
      <w:r w:rsidR="46425DBD" w:rsidRPr="6C9B8DC4">
        <w:rPr>
          <w:b/>
          <w:bCs/>
        </w:rPr>
        <w:t>1</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 2011.</w:t>
      </w:r>
    </w:p>
    <w:p w14:paraId="26320ECC" w14:textId="77777777" w:rsidR="00357B89" w:rsidRPr="001D5A45" w:rsidRDefault="00357B89" w:rsidP="00357B89">
      <w:pPr>
        <w:spacing w:after="0" w:line="240" w:lineRule="auto"/>
        <w:ind w:left="0"/>
        <w:rPr>
          <w:b/>
        </w:rPr>
      </w:pPr>
    </w:p>
    <w:p w14:paraId="27AF1E96" w14:textId="144997AC" w:rsidR="00E12CF8" w:rsidRPr="001D5A45" w:rsidRDefault="00E12CF8" w:rsidP="6C9B8DC4">
      <w:pPr>
        <w:spacing w:line="240" w:lineRule="auto"/>
        <w:ind w:left="0"/>
        <w:rPr>
          <w:b/>
          <w:bCs/>
        </w:rPr>
      </w:pPr>
      <w:r w:rsidRPr="6C9B8DC4">
        <w:rPr>
          <w:b/>
          <w:bCs/>
        </w:rPr>
        <w:t>Figure S</w:t>
      </w:r>
      <w:r w:rsidR="00472EA9" w:rsidRPr="6C9B8DC4">
        <w:rPr>
          <w:b/>
          <w:bCs/>
        </w:rPr>
        <w:t>2</w:t>
      </w:r>
      <w:r w:rsidR="5D645679" w:rsidRPr="6C9B8DC4">
        <w:rPr>
          <w:b/>
          <w:bCs/>
        </w:rPr>
        <w:t>2</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 2011.</w:t>
      </w:r>
    </w:p>
    <w:p w14:paraId="72474130" w14:textId="17EADD54" w:rsidR="00E12CF8" w:rsidRPr="001D5A45" w:rsidRDefault="00E12CF8" w:rsidP="6C9B8DC4">
      <w:pPr>
        <w:spacing w:line="240" w:lineRule="auto"/>
        <w:ind w:left="0"/>
        <w:rPr>
          <w:b/>
          <w:bCs/>
        </w:rPr>
      </w:pPr>
      <w:r w:rsidRPr="6C9B8DC4">
        <w:rPr>
          <w:b/>
          <w:bCs/>
        </w:rPr>
        <w:t>Figure S</w:t>
      </w:r>
      <w:r w:rsidR="00472EA9" w:rsidRPr="6C9B8DC4">
        <w:rPr>
          <w:b/>
          <w:bCs/>
        </w:rPr>
        <w:t>2</w:t>
      </w:r>
      <w:r w:rsidR="30E4E140" w:rsidRPr="6C9B8DC4">
        <w:rPr>
          <w:b/>
          <w:bCs/>
        </w:rPr>
        <w:t>3</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5, 2011.</w:t>
      </w:r>
    </w:p>
    <w:p w14:paraId="0DFB0491" w14:textId="141CC834" w:rsidR="00E12CF8" w:rsidRPr="001D5A45" w:rsidRDefault="00E12CF8" w:rsidP="6C9B8DC4">
      <w:pPr>
        <w:spacing w:line="240" w:lineRule="auto"/>
        <w:ind w:left="0"/>
        <w:rPr>
          <w:b/>
          <w:bCs/>
        </w:rPr>
      </w:pPr>
      <w:r w:rsidRPr="6C9B8DC4">
        <w:rPr>
          <w:b/>
          <w:bCs/>
        </w:rPr>
        <w:t>Figure S</w:t>
      </w:r>
      <w:r w:rsidR="00472EA9" w:rsidRPr="6C9B8DC4">
        <w:rPr>
          <w:b/>
          <w:bCs/>
        </w:rPr>
        <w:t>2</w:t>
      </w:r>
      <w:r w:rsidR="71B57680" w:rsidRPr="6C9B8DC4">
        <w:rPr>
          <w:b/>
          <w:bCs/>
        </w:rPr>
        <w:t>4</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10, 2011.</w:t>
      </w:r>
    </w:p>
    <w:p w14:paraId="761EC217" w14:textId="7913F34C" w:rsidR="00E12CF8" w:rsidRPr="001D5A45" w:rsidRDefault="00E12CF8" w:rsidP="6C9B8DC4">
      <w:pPr>
        <w:spacing w:line="240" w:lineRule="auto"/>
        <w:ind w:left="0"/>
        <w:rPr>
          <w:b/>
          <w:bCs/>
        </w:rPr>
      </w:pPr>
      <w:r w:rsidRPr="6C9B8DC4">
        <w:rPr>
          <w:b/>
          <w:bCs/>
        </w:rPr>
        <w:t>Figure S</w:t>
      </w:r>
      <w:r w:rsidR="00472EA9" w:rsidRPr="6C9B8DC4">
        <w:rPr>
          <w:b/>
          <w:bCs/>
        </w:rPr>
        <w:t>2</w:t>
      </w:r>
      <w:r w:rsidR="2BA62DC8" w:rsidRPr="6C9B8DC4">
        <w:rPr>
          <w:b/>
          <w:bCs/>
        </w:rPr>
        <w:t>5</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11, 2011.</w:t>
      </w:r>
    </w:p>
    <w:p w14:paraId="3E69D2BE" w14:textId="22ADDFB7" w:rsidR="00E12CF8" w:rsidRPr="001D5A45" w:rsidRDefault="00E12CF8" w:rsidP="6C9B8DC4">
      <w:pPr>
        <w:spacing w:line="240" w:lineRule="auto"/>
        <w:ind w:left="0"/>
        <w:rPr>
          <w:b/>
          <w:bCs/>
        </w:rPr>
      </w:pPr>
      <w:r w:rsidRPr="6C9B8DC4">
        <w:rPr>
          <w:b/>
          <w:bCs/>
        </w:rPr>
        <w:t>Figure S</w:t>
      </w:r>
      <w:r w:rsidR="00472EA9" w:rsidRPr="6C9B8DC4">
        <w:rPr>
          <w:b/>
          <w:bCs/>
        </w:rPr>
        <w:t>2</w:t>
      </w:r>
      <w:r w:rsidR="7AD77C21" w:rsidRPr="6C9B8DC4">
        <w:rPr>
          <w:b/>
          <w:bCs/>
        </w:rPr>
        <w:t>6</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14, 2011.</w:t>
      </w:r>
    </w:p>
    <w:p w14:paraId="63839057" w14:textId="0A40E029" w:rsidR="00E12CF8" w:rsidRPr="001D5A45" w:rsidRDefault="00E12CF8" w:rsidP="6C9B8DC4">
      <w:pPr>
        <w:spacing w:line="240" w:lineRule="auto"/>
        <w:ind w:left="0"/>
        <w:rPr>
          <w:b/>
          <w:bCs/>
        </w:rPr>
      </w:pPr>
      <w:r w:rsidRPr="6C9B8DC4">
        <w:rPr>
          <w:b/>
          <w:bCs/>
        </w:rPr>
        <w:t>Figure S</w:t>
      </w:r>
      <w:r w:rsidR="00472EA9" w:rsidRPr="6C9B8DC4">
        <w:rPr>
          <w:b/>
          <w:bCs/>
        </w:rPr>
        <w:t>2</w:t>
      </w:r>
      <w:r w:rsidR="780B61EA" w:rsidRPr="6C9B8DC4">
        <w:rPr>
          <w:b/>
          <w:bCs/>
        </w:rPr>
        <w:t>7</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16, 2011.</w:t>
      </w:r>
    </w:p>
    <w:p w14:paraId="4780C0D1" w14:textId="01B8888E" w:rsidR="00E12CF8" w:rsidRPr="001D5A45" w:rsidRDefault="00E12CF8" w:rsidP="6C9B8DC4">
      <w:pPr>
        <w:spacing w:line="240" w:lineRule="auto"/>
        <w:ind w:left="0"/>
        <w:rPr>
          <w:b/>
          <w:bCs/>
        </w:rPr>
      </w:pPr>
      <w:r w:rsidRPr="6C9B8DC4">
        <w:rPr>
          <w:b/>
          <w:bCs/>
        </w:rPr>
        <w:t>Figure S</w:t>
      </w:r>
      <w:r w:rsidR="001500B0" w:rsidRPr="6C9B8DC4">
        <w:rPr>
          <w:b/>
          <w:bCs/>
        </w:rPr>
        <w:t>2</w:t>
      </w:r>
      <w:r w:rsidR="06B79C55" w:rsidRPr="6C9B8DC4">
        <w:rPr>
          <w:b/>
          <w:bCs/>
        </w:rPr>
        <w:t>8</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20, 2011.</w:t>
      </w:r>
    </w:p>
    <w:p w14:paraId="413D5104" w14:textId="7FDBA67D" w:rsidR="00E12CF8" w:rsidRPr="001D5A45" w:rsidRDefault="00E12CF8" w:rsidP="6C9B8DC4">
      <w:pPr>
        <w:spacing w:line="240" w:lineRule="auto"/>
        <w:ind w:left="0"/>
        <w:rPr>
          <w:b/>
          <w:bCs/>
        </w:rPr>
      </w:pPr>
      <w:r w:rsidRPr="6C9B8DC4">
        <w:rPr>
          <w:b/>
          <w:bCs/>
        </w:rPr>
        <w:t>Figure S2</w:t>
      </w:r>
      <w:r w:rsidR="1B6AF10D" w:rsidRPr="6C9B8DC4">
        <w:rPr>
          <w:b/>
          <w:bCs/>
        </w:rPr>
        <w:t>9</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21, 2011.</w:t>
      </w:r>
    </w:p>
    <w:p w14:paraId="2DB290F4" w14:textId="4BB031BA" w:rsidR="00E12CF8" w:rsidRPr="001D5A45" w:rsidRDefault="00E12CF8" w:rsidP="6C9B8DC4">
      <w:pPr>
        <w:spacing w:line="240" w:lineRule="auto"/>
        <w:ind w:left="0"/>
        <w:rPr>
          <w:b/>
          <w:bCs/>
        </w:rPr>
      </w:pPr>
      <w:r w:rsidRPr="6C9B8DC4">
        <w:rPr>
          <w:b/>
          <w:bCs/>
        </w:rPr>
        <w:t>Figure S</w:t>
      </w:r>
      <w:r w:rsidR="065F2EED" w:rsidRPr="6C9B8DC4">
        <w:rPr>
          <w:b/>
          <w:bCs/>
        </w:rPr>
        <w:t>30</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22, 2011.</w:t>
      </w:r>
    </w:p>
    <w:p w14:paraId="66EA729A" w14:textId="778AF71D" w:rsidR="00E12CF8" w:rsidRPr="001D5A45" w:rsidRDefault="00E12CF8" w:rsidP="6C9B8DC4">
      <w:pPr>
        <w:spacing w:line="240" w:lineRule="auto"/>
        <w:ind w:left="0"/>
        <w:rPr>
          <w:b/>
          <w:bCs/>
        </w:rPr>
      </w:pPr>
      <w:r w:rsidRPr="6C9B8DC4">
        <w:rPr>
          <w:b/>
          <w:bCs/>
        </w:rPr>
        <w:t>Figure S</w:t>
      </w:r>
      <w:r w:rsidR="00472EA9" w:rsidRPr="6C9B8DC4">
        <w:rPr>
          <w:b/>
          <w:bCs/>
        </w:rPr>
        <w:t>3</w:t>
      </w:r>
      <w:r w:rsidR="6930F752" w:rsidRPr="6C9B8DC4">
        <w:rPr>
          <w:b/>
          <w:bCs/>
        </w:rPr>
        <w:t>1</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26, 2011.</w:t>
      </w:r>
    </w:p>
    <w:p w14:paraId="26BA7794" w14:textId="0B4CDD88" w:rsidR="00E12CF8" w:rsidRPr="001D5A45" w:rsidRDefault="00E12CF8" w:rsidP="6C9B8DC4">
      <w:pPr>
        <w:spacing w:line="240" w:lineRule="auto"/>
        <w:ind w:left="0"/>
        <w:rPr>
          <w:b/>
          <w:bCs/>
        </w:rPr>
      </w:pPr>
      <w:r w:rsidRPr="6C9B8DC4">
        <w:rPr>
          <w:b/>
          <w:bCs/>
        </w:rPr>
        <w:t xml:space="preserve">Figure </w:t>
      </w:r>
      <w:r w:rsidR="00472EA9" w:rsidRPr="6C9B8DC4">
        <w:rPr>
          <w:b/>
          <w:bCs/>
        </w:rPr>
        <w:t>S3</w:t>
      </w:r>
      <w:r w:rsidR="5503B7A9" w:rsidRPr="6C9B8DC4">
        <w:rPr>
          <w:b/>
          <w:bCs/>
        </w:rPr>
        <w:t>2</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27, 2011.</w:t>
      </w:r>
    </w:p>
    <w:p w14:paraId="7733AE45" w14:textId="5F7EBA23" w:rsidR="00E12CF8" w:rsidRPr="001D5A45" w:rsidRDefault="00E12CF8" w:rsidP="6C9B8DC4">
      <w:pPr>
        <w:spacing w:line="240" w:lineRule="auto"/>
        <w:ind w:left="0"/>
        <w:rPr>
          <w:b/>
          <w:bCs/>
        </w:rPr>
      </w:pPr>
      <w:r w:rsidRPr="6C9B8DC4">
        <w:rPr>
          <w:b/>
          <w:bCs/>
        </w:rPr>
        <w:t xml:space="preserve">Figure </w:t>
      </w:r>
      <w:r w:rsidR="00472EA9" w:rsidRPr="6C9B8DC4">
        <w:rPr>
          <w:b/>
          <w:bCs/>
        </w:rPr>
        <w:t>S3</w:t>
      </w:r>
      <w:r w:rsidR="3CDA924B" w:rsidRPr="6C9B8DC4">
        <w:rPr>
          <w:b/>
          <w:bCs/>
        </w:rPr>
        <w:t>3</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28, 2011.</w:t>
      </w:r>
    </w:p>
    <w:p w14:paraId="197DCC60" w14:textId="68A904A2" w:rsidR="00E12CF8" w:rsidRDefault="00E12CF8" w:rsidP="6C9B8DC4">
      <w:pPr>
        <w:spacing w:line="240" w:lineRule="auto"/>
        <w:ind w:left="0"/>
        <w:rPr>
          <w:b/>
          <w:bCs/>
        </w:rPr>
      </w:pPr>
      <w:r w:rsidRPr="6C9B8DC4">
        <w:rPr>
          <w:b/>
          <w:bCs/>
        </w:rPr>
        <w:t xml:space="preserve">Figure </w:t>
      </w:r>
      <w:r w:rsidR="00472EA9" w:rsidRPr="6C9B8DC4">
        <w:rPr>
          <w:b/>
          <w:bCs/>
        </w:rPr>
        <w:t>S3</w:t>
      </w:r>
      <w:r w:rsidR="0D15163B" w:rsidRPr="6C9B8DC4">
        <w:rPr>
          <w:b/>
          <w:bCs/>
        </w:rPr>
        <w:t>4</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29, 2011.</w:t>
      </w:r>
    </w:p>
    <w:p w14:paraId="3A61235B" w14:textId="4F1BA59E" w:rsidR="006A340B" w:rsidRPr="001D5A45" w:rsidRDefault="006A340B" w:rsidP="00E12CF8">
      <w:pPr>
        <w:spacing w:line="240" w:lineRule="auto"/>
        <w:ind w:left="0"/>
        <w:rPr>
          <w:b/>
        </w:rPr>
      </w:pPr>
      <w:r>
        <w:rPr>
          <w:b/>
        </w:rPr>
        <w:t>Table S1</w:t>
      </w:r>
      <w:r w:rsidR="00A85C66">
        <w:rPr>
          <w:b/>
        </w:rPr>
        <w:t>.</w:t>
      </w:r>
      <w:r>
        <w:rPr>
          <w:b/>
        </w:rPr>
        <w:t xml:space="preserve"> List of model chemical mechanism species that were assigned to each measured </w:t>
      </w:r>
      <w:proofErr w:type="spellStart"/>
      <w:r>
        <w:rPr>
          <w:b/>
        </w:rPr>
        <w:t>NOy</w:t>
      </w:r>
      <w:proofErr w:type="spellEnd"/>
      <w:r>
        <w:rPr>
          <w:b/>
        </w:rPr>
        <w:t xml:space="preserve"> species.</w:t>
      </w:r>
    </w:p>
    <w:bookmarkEnd w:id="1"/>
    <w:p w14:paraId="02F8740B" w14:textId="4CF399FF" w:rsidR="00E1261F" w:rsidRDefault="00E1261F" w:rsidP="00E1261F">
      <w:pPr>
        <w:ind w:left="0"/>
        <w:rPr>
          <w:rFonts w:cstheme="minorHAnsi"/>
          <w:b/>
          <w:bCs/>
          <w:iCs/>
          <w:sz w:val="24"/>
          <w:szCs w:val="24"/>
        </w:rPr>
      </w:pPr>
    </w:p>
    <w:p w14:paraId="10886C18" w14:textId="053B788A" w:rsidR="0048052C" w:rsidRDefault="0048052C">
      <w:pPr>
        <w:spacing w:line="259" w:lineRule="auto"/>
        <w:ind w:left="0"/>
        <w:rPr>
          <w:rFonts w:cstheme="minorHAnsi"/>
          <w:iCs/>
        </w:rPr>
      </w:pPr>
      <w:r>
        <w:rPr>
          <w:rFonts w:cstheme="minorHAnsi"/>
          <w:iCs/>
        </w:rPr>
        <w:br w:type="page"/>
      </w:r>
    </w:p>
    <w:p w14:paraId="558BE839" w14:textId="77777777" w:rsidR="00E1261F" w:rsidRPr="0058197C" w:rsidRDefault="00E1261F" w:rsidP="00E1261F">
      <w:pPr>
        <w:spacing w:after="0" w:line="240" w:lineRule="auto"/>
        <w:ind w:left="0"/>
        <w:rPr>
          <w:rFonts w:cstheme="minorHAnsi"/>
          <w:iCs/>
        </w:rPr>
      </w:pPr>
    </w:p>
    <w:p w14:paraId="1BF4A7E1" w14:textId="23FFED6A" w:rsidR="00E1261F" w:rsidRPr="0058197C" w:rsidRDefault="00E1261F" w:rsidP="2FD54C7E">
      <w:pPr>
        <w:spacing w:after="0" w:line="240" w:lineRule="auto"/>
        <w:ind w:left="0"/>
        <w:jc w:val="center"/>
      </w:pPr>
    </w:p>
    <w:p w14:paraId="5CA791A1" w14:textId="36B341D4" w:rsidR="00E1261F" w:rsidRPr="0058197C" w:rsidRDefault="5F7856E8" w:rsidP="2FD54C7E">
      <w:pPr>
        <w:spacing w:after="0" w:line="240" w:lineRule="auto"/>
        <w:ind w:left="0"/>
        <w:jc w:val="center"/>
      </w:pPr>
      <w:r>
        <w:rPr>
          <w:noProof/>
        </w:rPr>
        <w:drawing>
          <wp:inline distT="0" distB="0" distL="0" distR="0" wp14:anchorId="056D8730" wp14:editId="61FD0D63">
            <wp:extent cx="5943600" cy="3190875"/>
            <wp:effectExtent l="0" t="0" r="0" b="0"/>
            <wp:docPr id="1023821169" name="Picture 102382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821169"/>
                    <pic:cNvPicPr/>
                  </pic:nvPicPr>
                  <pic:blipFill>
                    <a:blip r:embed="rId7">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14:paraId="3E7C97B9" w14:textId="56DC4C88" w:rsidR="0B1D5D89" w:rsidRDefault="742506FC" w:rsidP="2FD54C7E">
      <w:pPr>
        <w:spacing w:after="0" w:line="240" w:lineRule="auto"/>
        <w:ind w:left="0"/>
        <w:jc w:val="center"/>
      </w:pPr>
      <w:r>
        <w:rPr>
          <w:noProof/>
        </w:rPr>
        <w:drawing>
          <wp:inline distT="0" distB="0" distL="0" distR="0" wp14:anchorId="75837AB0" wp14:editId="5C247535">
            <wp:extent cx="5943600" cy="3190875"/>
            <wp:effectExtent l="0" t="0" r="0" b="0"/>
            <wp:docPr id="1836449495" name="Picture 1836449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449495"/>
                    <pic:cNvPicPr/>
                  </pic:nvPicPr>
                  <pic:blipFill>
                    <a:blip r:embed="rId8">
                      <a:extLst>
                        <a:ext uri="{28A0092B-C50C-407E-A947-70E740481C1C}">
                          <a14:useLocalDpi xmlns:a14="http://schemas.microsoft.com/office/drawing/2010/main" val="0"/>
                        </a:ext>
                      </a:extLst>
                    </a:blip>
                    <a:stretch>
                      <a:fillRect/>
                    </a:stretch>
                  </pic:blipFill>
                  <pic:spPr>
                    <a:xfrm>
                      <a:off x="0" y="0"/>
                      <a:ext cx="5943600" cy="3190875"/>
                    </a:xfrm>
                    <a:prstGeom prst="rect">
                      <a:avLst/>
                    </a:prstGeom>
                  </pic:spPr>
                </pic:pic>
              </a:graphicData>
            </a:graphic>
          </wp:inline>
        </w:drawing>
      </w:r>
    </w:p>
    <w:p w14:paraId="1BFD4BB6" w14:textId="395D0AE7" w:rsidR="00E1261F" w:rsidRDefault="00F30196" w:rsidP="00F30196">
      <w:pPr>
        <w:spacing w:after="0" w:line="240" w:lineRule="auto"/>
        <w:ind w:left="0"/>
        <w:rPr>
          <w:rFonts w:cstheme="minorHAnsi"/>
          <w:iCs/>
        </w:rPr>
      </w:pPr>
      <w:r w:rsidRPr="006401D9">
        <w:rPr>
          <w:rFonts w:cstheme="minorHAnsi"/>
          <w:b/>
          <w:bCs/>
          <w:iCs/>
        </w:rPr>
        <w:t>Figure S1.</w:t>
      </w:r>
      <w:r w:rsidRPr="0058197C">
        <w:rPr>
          <w:rFonts w:cstheme="minorHAnsi"/>
          <w:iCs/>
        </w:rPr>
        <w:t xml:space="preserve"> </w:t>
      </w:r>
      <w:r w:rsidRPr="00D74708">
        <w:rPr>
          <w:rFonts w:cstheme="minorHAnsi"/>
          <w:b/>
          <w:bCs/>
        </w:rPr>
        <w:t>NO</w:t>
      </w:r>
      <w:r w:rsidRPr="00D74708">
        <w:rPr>
          <w:rFonts w:cstheme="minorHAnsi"/>
          <w:b/>
          <w:bCs/>
          <w:vertAlign w:val="subscript"/>
        </w:rPr>
        <w:t>X</w:t>
      </w:r>
      <w:r w:rsidRPr="00D74708">
        <w:rPr>
          <w:rFonts w:cstheme="minorHAnsi"/>
          <w:b/>
          <w:bCs/>
        </w:rPr>
        <w:t xml:space="preserve"> </w:t>
      </w:r>
      <w:r>
        <w:rPr>
          <w:rFonts w:cstheme="minorHAnsi"/>
          <w:b/>
          <w:bCs/>
        </w:rPr>
        <w:t xml:space="preserve">monitoring </w:t>
      </w:r>
      <w:r w:rsidRPr="00D74708">
        <w:rPr>
          <w:rFonts w:cstheme="minorHAnsi"/>
          <w:b/>
          <w:bCs/>
          <w:iCs/>
        </w:rPr>
        <w:t>sites by NOAA Climate Regions (top) and data availability by site</w:t>
      </w:r>
      <w:r>
        <w:rPr>
          <w:rFonts w:cstheme="minorHAnsi"/>
          <w:b/>
          <w:bCs/>
          <w:iCs/>
        </w:rPr>
        <w:t xml:space="preserve"> </w:t>
      </w:r>
      <w:r w:rsidRPr="00E843FD">
        <w:rPr>
          <w:rFonts w:cstheme="minorHAnsi"/>
          <w:b/>
          <w:bCs/>
          <w:iCs/>
        </w:rPr>
        <w:t>(bottom)</w:t>
      </w:r>
      <w:r>
        <w:rPr>
          <w:rFonts w:cstheme="minorHAnsi"/>
          <w:b/>
          <w:bCs/>
          <w:iCs/>
        </w:rPr>
        <w:t>.</w:t>
      </w:r>
      <w:r>
        <w:rPr>
          <w:rFonts w:cstheme="minorHAnsi"/>
          <w:iCs/>
        </w:rPr>
        <w:t xml:space="preserve"> Bottom figure shows number of years with data available by site for the period 2002-2016. </w:t>
      </w:r>
      <w:r w:rsidRPr="0058197C">
        <w:rPr>
          <w:rFonts w:cstheme="minorHAnsi"/>
          <w:iCs/>
        </w:rPr>
        <w:t>Note that the NOAA Climate Region Northern Rockies and Plains (MT, WY, ND, SD, NE) has been combined with the Northwest Region (WA, OR, ID) due to</w:t>
      </w:r>
      <w:r>
        <w:rPr>
          <w:rFonts w:cstheme="minorHAnsi"/>
          <w:iCs/>
        </w:rPr>
        <w:t xml:space="preserve"> limited number of available</w:t>
      </w:r>
      <w:r w:rsidRPr="0058197C">
        <w:rPr>
          <w:rFonts w:cstheme="minorHAnsi"/>
          <w:iCs/>
        </w:rPr>
        <w:t xml:space="preserve"> monitors in many of these states. </w:t>
      </w:r>
      <w:r w:rsidR="00E1261F" w:rsidRPr="0058197C">
        <w:rPr>
          <w:rFonts w:cstheme="minorHAnsi"/>
          <w:iCs/>
        </w:rPr>
        <w:br w:type="page"/>
      </w:r>
    </w:p>
    <w:p w14:paraId="2B5CD81F" w14:textId="2F095232" w:rsidR="00390379" w:rsidRDefault="00B71A50" w:rsidP="00390379">
      <w:pPr>
        <w:spacing w:line="259" w:lineRule="auto"/>
        <w:ind w:left="0"/>
        <w:jc w:val="center"/>
        <w:rPr>
          <w:rFonts w:cstheme="minorHAnsi"/>
          <w:iCs/>
        </w:rPr>
      </w:pPr>
      <w:bookmarkStart w:id="3" w:name="_Hlk47532282"/>
      <w:r>
        <w:rPr>
          <w:noProof/>
        </w:rPr>
        <w:lastRenderedPageBreak/>
        <w:drawing>
          <wp:inline distT="0" distB="0" distL="0" distR="0" wp14:anchorId="13A32561" wp14:editId="7047232E">
            <wp:extent cx="5153517" cy="7175498"/>
            <wp:effectExtent l="0" t="0" r="9525" b="635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9">
                      <a:extLst>
                        <a:ext uri="{28A0092B-C50C-407E-A947-70E740481C1C}">
                          <a14:useLocalDpi xmlns:a14="http://schemas.microsoft.com/office/drawing/2010/main" val="0"/>
                        </a:ext>
                      </a:extLst>
                    </a:blip>
                    <a:stretch>
                      <a:fillRect/>
                    </a:stretch>
                  </pic:blipFill>
                  <pic:spPr>
                    <a:xfrm>
                      <a:off x="0" y="0"/>
                      <a:ext cx="5153517" cy="7175498"/>
                    </a:xfrm>
                    <a:prstGeom prst="rect">
                      <a:avLst/>
                    </a:prstGeom>
                  </pic:spPr>
                </pic:pic>
              </a:graphicData>
            </a:graphic>
          </wp:inline>
        </w:drawing>
      </w:r>
    </w:p>
    <w:p w14:paraId="5F4E57C3" w14:textId="2898EC0B" w:rsidR="00466DBA" w:rsidRDefault="14E2F944" w:rsidP="2FD54C7E">
      <w:pPr>
        <w:spacing w:line="259" w:lineRule="auto"/>
        <w:ind w:left="0"/>
      </w:pPr>
      <w:r w:rsidRPr="46007DA3">
        <w:rPr>
          <w:b/>
          <w:bCs/>
        </w:rPr>
        <w:t>Figure S2</w:t>
      </w:r>
      <w:r>
        <w:t xml:space="preserve">. </w:t>
      </w:r>
      <w:r w:rsidRPr="46007DA3">
        <w:rPr>
          <w:b/>
          <w:bCs/>
        </w:rPr>
        <w:t>Modeled annual average of oxidized nitrogen species for winter (top</w:t>
      </w:r>
      <w:r w:rsidR="007E4CBB" w:rsidRPr="46007DA3">
        <w:rPr>
          <w:b/>
          <w:bCs/>
        </w:rPr>
        <w:t xml:space="preserve"> 4-plot panel, labeled as Q1</w:t>
      </w:r>
      <w:r w:rsidRPr="46007DA3">
        <w:rPr>
          <w:b/>
          <w:bCs/>
        </w:rPr>
        <w:t>) and summer (bottom</w:t>
      </w:r>
      <w:r w:rsidR="007E4CBB" w:rsidRPr="46007DA3">
        <w:rPr>
          <w:b/>
          <w:bCs/>
        </w:rPr>
        <w:t xml:space="preserve"> 4-plot panel, labeled as Q3</w:t>
      </w:r>
      <w:r w:rsidRPr="46007DA3">
        <w:rPr>
          <w:b/>
          <w:bCs/>
        </w:rPr>
        <w:t>) of 2015</w:t>
      </w:r>
      <w:r>
        <w:t>. For each 4-plot panel, top left represents NO</w:t>
      </w:r>
      <w:r w:rsidRPr="46007DA3">
        <w:rPr>
          <w:vertAlign w:val="subscript"/>
        </w:rPr>
        <w:t>X</w:t>
      </w:r>
      <w:r>
        <w:t xml:space="preserve"> (NO+ NO</w:t>
      </w:r>
      <w:r w:rsidRPr="46007DA3">
        <w:rPr>
          <w:vertAlign w:val="subscript"/>
        </w:rPr>
        <w:t>2</w:t>
      </w:r>
      <w:r>
        <w:t xml:space="preserve">), top right represents </w:t>
      </w:r>
      <w:proofErr w:type="spellStart"/>
      <w:r>
        <w:t>NOz</w:t>
      </w:r>
      <w:proofErr w:type="spellEnd"/>
      <w:r>
        <w:t xml:space="preserve"> (the difference between NO</w:t>
      </w:r>
      <w:r w:rsidRPr="46007DA3">
        <w:rPr>
          <w:vertAlign w:val="subscript"/>
        </w:rPr>
        <w:t>Y</w:t>
      </w:r>
      <w:r>
        <w:t xml:space="preserve"> and NO</w:t>
      </w:r>
      <w:r w:rsidRPr="46007DA3">
        <w:rPr>
          <w:vertAlign w:val="subscript"/>
        </w:rPr>
        <w:t>X</w:t>
      </w:r>
      <w:r>
        <w:t xml:space="preserve">), bottom left represents </w:t>
      </w:r>
      <w:proofErr w:type="spellStart"/>
      <w:r>
        <w:t>NOy</w:t>
      </w:r>
      <w:proofErr w:type="spellEnd"/>
      <w:r>
        <w:t xml:space="preserve"> (all oxidized species), and bottom right the ratio of NO</w:t>
      </w:r>
      <w:r w:rsidRPr="46007DA3">
        <w:rPr>
          <w:vertAlign w:val="subscript"/>
        </w:rPr>
        <w:t>X</w:t>
      </w:r>
      <w:r>
        <w:t xml:space="preserve"> to NO</w:t>
      </w:r>
      <w:r w:rsidRPr="46007DA3">
        <w:rPr>
          <w:vertAlign w:val="subscript"/>
        </w:rPr>
        <w:t>Y</w:t>
      </w:r>
      <w:r>
        <w:t xml:space="preserve">. </w:t>
      </w:r>
      <w:r>
        <w:br w:type="page"/>
      </w:r>
      <w:r w:rsidR="6C084328">
        <w:rPr>
          <w:noProof/>
        </w:rPr>
        <w:lastRenderedPageBreak/>
        <w:drawing>
          <wp:inline distT="0" distB="0" distL="0" distR="0" wp14:anchorId="4C501F26" wp14:editId="25E71726">
            <wp:extent cx="5943600" cy="4943475"/>
            <wp:effectExtent l="0" t="0" r="0" b="0"/>
            <wp:docPr id="1635771270" name="Picture 163577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5771270"/>
                    <pic:cNvPicPr/>
                  </pic:nvPicPr>
                  <pic:blipFill>
                    <a:blip r:embed="rId10">
                      <a:extLst>
                        <a:ext uri="{28A0092B-C50C-407E-A947-70E740481C1C}">
                          <a14:useLocalDpi xmlns:a14="http://schemas.microsoft.com/office/drawing/2010/main" val="0"/>
                        </a:ext>
                      </a:extLst>
                    </a:blip>
                    <a:stretch>
                      <a:fillRect/>
                    </a:stretch>
                  </pic:blipFill>
                  <pic:spPr>
                    <a:xfrm>
                      <a:off x="0" y="0"/>
                      <a:ext cx="5943600" cy="4943475"/>
                    </a:xfrm>
                    <a:prstGeom prst="rect">
                      <a:avLst/>
                    </a:prstGeom>
                  </pic:spPr>
                </pic:pic>
              </a:graphicData>
            </a:graphic>
          </wp:inline>
        </w:drawing>
      </w:r>
    </w:p>
    <w:p w14:paraId="1EFF9ABB" w14:textId="2D20600D" w:rsidR="00E1261F" w:rsidRPr="0058197C" w:rsidRDefault="70705AA6" w:rsidP="2FD54C7E">
      <w:pPr>
        <w:spacing w:after="0" w:line="240" w:lineRule="auto"/>
        <w:ind w:left="0"/>
        <w:jc w:val="both"/>
      </w:pPr>
      <w:r w:rsidRPr="455D1EBA">
        <w:rPr>
          <w:b/>
          <w:bCs/>
        </w:rPr>
        <w:t>Figure S3.</w:t>
      </w:r>
      <w:r>
        <w:t xml:space="preserve"> </w:t>
      </w:r>
      <w:r w:rsidRPr="455D1EBA">
        <w:rPr>
          <w:b/>
          <w:bCs/>
        </w:rPr>
        <w:t>Number of sites used to calculate Normalized Mean Bias of morning NO</w:t>
      </w:r>
      <w:r w:rsidRPr="455D1EBA">
        <w:rPr>
          <w:b/>
          <w:bCs/>
          <w:vertAlign w:val="subscript"/>
        </w:rPr>
        <w:t>X</w:t>
      </w:r>
      <w:r w:rsidRPr="455D1EBA">
        <w:rPr>
          <w:b/>
          <w:bCs/>
        </w:rPr>
        <w:t xml:space="preserve"> in Figure</w:t>
      </w:r>
      <w:r w:rsidR="51FF5CC1" w:rsidRPr="455D1EBA">
        <w:rPr>
          <w:b/>
          <w:bCs/>
        </w:rPr>
        <w:t>s</w:t>
      </w:r>
      <w:r w:rsidRPr="455D1EBA">
        <w:rPr>
          <w:b/>
          <w:bCs/>
        </w:rPr>
        <w:t xml:space="preserve"> S4</w:t>
      </w:r>
      <w:r w:rsidR="3C224730" w:rsidRPr="455D1EBA">
        <w:rPr>
          <w:b/>
          <w:bCs/>
        </w:rPr>
        <w:t xml:space="preserve"> – S6</w:t>
      </w:r>
      <w:r w:rsidRPr="455D1EBA">
        <w:rPr>
          <w:b/>
          <w:bCs/>
        </w:rPr>
        <w:t>.</w:t>
      </w:r>
      <w:r>
        <w:t xml:space="preserve">  </w:t>
      </w:r>
    </w:p>
    <w:p w14:paraId="7CB08491" w14:textId="58FB290D" w:rsidR="00E1261F" w:rsidRPr="0058197C" w:rsidRDefault="6C084328" w:rsidP="2FD54C7E">
      <w:pPr>
        <w:spacing w:after="0" w:line="259" w:lineRule="auto"/>
        <w:ind w:left="0"/>
      </w:pPr>
      <w:r>
        <w:rPr>
          <w:noProof/>
        </w:rPr>
        <w:lastRenderedPageBreak/>
        <w:drawing>
          <wp:inline distT="0" distB="0" distL="0" distR="0" wp14:anchorId="6A68D596" wp14:editId="23FF5860">
            <wp:extent cx="5943600" cy="4943475"/>
            <wp:effectExtent l="0" t="0" r="0" b="0"/>
            <wp:docPr id="1289479957" name="Picture 1289479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479957"/>
                    <pic:cNvPicPr/>
                  </pic:nvPicPr>
                  <pic:blipFill>
                    <a:blip r:embed="rId11">
                      <a:extLst>
                        <a:ext uri="{28A0092B-C50C-407E-A947-70E740481C1C}">
                          <a14:useLocalDpi xmlns:a14="http://schemas.microsoft.com/office/drawing/2010/main" val="0"/>
                        </a:ext>
                      </a:extLst>
                    </a:blip>
                    <a:stretch>
                      <a:fillRect/>
                    </a:stretch>
                  </pic:blipFill>
                  <pic:spPr>
                    <a:xfrm>
                      <a:off x="0" y="0"/>
                      <a:ext cx="5943600" cy="4943475"/>
                    </a:xfrm>
                    <a:prstGeom prst="rect">
                      <a:avLst/>
                    </a:prstGeom>
                  </pic:spPr>
                </pic:pic>
              </a:graphicData>
            </a:graphic>
          </wp:inline>
        </w:drawing>
      </w:r>
    </w:p>
    <w:p w14:paraId="1AE83BB1" w14:textId="309FAD7B" w:rsidR="00E1261F" w:rsidRPr="0058197C" w:rsidRDefault="009BAC3A" w:rsidP="455D1EBA">
      <w:pPr>
        <w:spacing w:after="0" w:line="259" w:lineRule="auto"/>
        <w:ind w:left="0"/>
      </w:pPr>
      <w:r w:rsidRPr="455D1EBA">
        <w:rPr>
          <w:b/>
          <w:bCs/>
        </w:rPr>
        <w:t>Figure S4.</w:t>
      </w:r>
      <w:r>
        <w:t xml:space="preserve"> </w:t>
      </w:r>
      <w:r w:rsidRPr="455D1EBA">
        <w:rPr>
          <w:b/>
          <w:bCs/>
        </w:rPr>
        <w:t>Normalized Mean Bias (NMB) of morning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Morning hours are 4</w:t>
      </w:r>
      <w:r w:rsidR="16809230">
        <w:t xml:space="preserve"> – </w:t>
      </w:r>
      <w:r>
        <w:t xml:space="preserve">9 a.m. LST. Data </w:t>
      </w:r>
      <w:r w:rsidR="3CA6CCB3">
        <w:t xml:space="preserve">have </w:t>
      </w:r>
      <w:r>
        <w:t xml:space="preserve">been aggregated by season for each annual simulation across all monitors in US domain (Fig. S1). </w:t>
      </w:r>
    </w:p>
    <w:p w14:paraId="1F82332A" w14:textId="539282CA" w:rsidR="52E86020" w:rsidRDefault="5F46BD91" w:rsidP="455D1EBA">
      <w:pPr>
        <w:spacing w:after="0" w:line="259" w:lineRule="auto"/>
        <w:ind w:left="0"/>
      </w:pPr>
      <w:r>
        <w:rPr>
          <w:noProof/>
        </w:rPr>
        <w:lastRenderedPageBreak/>
        <w:drawing>
          <wp:inline distT="0" distB="0" distL="0" distR="0" wp14:anchorId="3E205F40" wp14:editId="644AB914">
            <wp:extent cx="5943600" cy="4943475"/>
            <wp:effectExtent l="0" t="0" r="0" b="0"/>
            <wp:docPr id="1932101630" name="Picture 193210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2101630"/>
                    <pic:cNvPicPr/>
                  </pic:nvPicPr>
                  <pic:blipFill>
                    <a:blip r:embed="rId12">
                      <a:extLst>
                        <a:ext uri="{28A0092B-C50C-407E-A947-70E740481C1C}">
                          <a14:useLocalDpi xmlns:a14="http://schemas.microsoft.com/office/drawing/2010/main" val="0"/>
                        </a:ext>
                      </a:extLst>
                    </a:blip>
                    <a:stretch>
                      <a:fillRect/>
                    </a:stretch>
                  </pic:blipFill>
                  <pic:spPr>
                    <a:xfrm>
                      <a:off x="0" y="0"/>
                      <a:ext cx="5943600" cy="4943475"/>
                    </a:xfrm>
                    <a:prstGeom prst="rect">
                      <a:avLst/>
                    </a:prstGeom>
                  </pic:spPr>
                </pic:pic>
              </a:graphicData>
            </a:graphic>
          </wp:inline>
        </w:drawing>
      </w:r>
    </w:p>
    <w:p w14:paraId="73E7847A" w14:textId="57BC59D4" w:rsidR="52E86020" w:rsidRDefault="52E86020" w:rsidP="455D1EBA">
      <w:pPr>
        <w:spacing w:after="0" w:line="259" w:lineRule="auto"/>
        <w:ind w:left="0"/>
      </w:pPr>
      <w:r w:rsidRPr="455D1EBA">
        <w:rPr>
          <w:b/>
          <w:bCs/>
        </w:rPr>
        <w:t>Figure S5.</w:t>
      </w:r>
      <w:r>
        <w:t xml:space="preserve"> </w:t>
      </w:r>
      <w:r w:rsidRPr="455D1EBA">
        <w:rPr>
          <w:b/>
          <w:bCs/>
        </w:rPr>
        <w:t>Normalized Mean Bias (NMB) of midday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Midday hours are 11 a.m.</w:t>
      </w:r>
      <w:r w:rsidR="0F60E44E">
        <w:t xml:space="preserve"> –</w:t>
      </w:r>
      <w:r w:rsidR="6B0E6BBC">
        <w:t xml:space="preserve"> </w:t>
      </w:r>
      <w:r>
        <w:t xml:space="preserve">3 p.m. LST. Data </w:t>
      </w:r>
      <w:r w:rsidR="4E721203">
        <w:t xml:space="preserve">have </w:t>
      </w:r>
      <w:r>
        <w:t>been aggregated by season for each annual simulation across all monitors in US domain (Fig. S1).</w:t>
      </w:r>
    </w:p>
    <w:p w14:paraId="55512310" w14:textId="35AED54F" w:rsidR="455D1EBA" w:rsidRDefault="455D1EBA" w:rsidP="455D1EBA">
      <w:pPr>
        <w:spacing w:after="0" w:line="259" w:lineRule="auto"/>
        <w:ind w:left="0"/>
      </w:pPr>
    </w:p>
    <w:p w14:paraId="164E836F" w14:textId="091FBC7B" w:rsidR="74A18490" w:rsidRDefault="51CF3D1C" w:rsidP="455D1EBA">
      <w:pPr>
        <w:spacing w:after="0" w:line="259" w:lineRule="auto"/>
        <w:ind w:left="0"/>
      </w:pPr>
      <w:r>
        <w:rPr>
          <w:noProof/>
        </w:rPr>
        <w:lastRenderedPageBreak/>
        <w:drawing>
          <wp:inline distT="0" distB="0" distL="0" distR="0" wp14:anchorId="6A38FF47" wp14:editId="32328A1E">
            <wp:extent cx="5943600" cy="4943475"/>
            <wp:effectExtent l="0" t="0" r="0" b="0"/>
            <wp:docPr id="837334837" name="Picture 837334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34837"/>
                    <pic:cNvPicPr/>
                  </pic:nvPicPr>
                  <pic:blipFill>
                    <a:blip r:embed="rId13">
                      <a:extLst>
                        <a:ext uri="{28A0092B-C50C-407E-A947-70E740481C1C}">
                          <a14:useLocalDpi xmlns:a14="http://schemas.microsoft.com/office/drawing/2010/main" val="0"/>
                        </a:ext>
                      </a:extLst>
                    </a:blip>
                    <a:stretch>
                      <a:fillRect/>
                    </a:stretch>
                  </pic:blipFill>
                  <pic:spPr>
                    <a:xfrm>
                      <a:off x="0" y="0"/>
                      <a:ext cx="5943600" cy="4943475"/>
                    </a:xfrm>
                    <a:prstGeom prst="rect">
                      <a:avLst/>
                    </a:prstGeom>
                  </pic:spPr>
                </pic:pic>
              </a:graphicData>
            </a:graphic>
          </wp:inline>
        </w:drawing>
      </w:r>
    </w:p>
    <w:p w14:paraId="417BB725" w14:textId="6690D03D" w:rsidR="1C775B7C" w:rsidRDefault="1C775B7C" w:rsidP="455D1EBA">
      <w:pPr>
        <w:spacing w:after="0" w:line="259" w:lineRule="auto"/>
        <w:ind w:left="0"/>
      </w:pPr>
      <w:r w:rsidRPr="455D1EBA">
        <w:rPr>
          <w:b/>
          <w:bCs/>
        </w:rPr>
        <w:t>Figure S6.</w:t>
      </w:r>
      <w:r>
        <w:t xml:space="preserve"> </w:t>
      </w:r>
      <w:r w:rsidRPr="455D1EBA">
        <w:rPr>
          <w:b/>
          <w:bCs/>
        </w:rPr>
        <w:t>Normalized Mean Bias (NMB) of evening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Evening hours are 4 p.m.</w:t>
      </w:r>
      <w:r w:rsidR="586F90FB">
        <w:t xml:space="preserve"> – </w:t>
      </w:r>
      <w:r>
        <w:t xml:space="preserve">9 p.m. LST. Data </w:t>
      </w:r>
      <w:r w:rsidR="5DA4D295">
        <w:t xml:space="preserve">have </w:t>
      </w:r>
      <w:r>
        <w:t>been aggregated by season for each annual simulation across all monitors in US domain (Fig. S1).</w:t>
      </w:r>
    </w:p>
    <w:p w14:paraId="129D977D" w14:textId="772B177D" w:rsidR="455D1EBA" w:rsidRDefault="455D1EBA" w:rsidP="455D1EBA">
      <w:pPr>
        <w:spacing w:after="0" w:line="259" w:lineRule="auto"/>
        <w:ind w:left="0"/>
      </w:pPr>
    </w:p>
    <w:p w14:paraId="464A6F17" w14:textId="02162D2B" w:rsidR="455D1EBA" w:rsidRDefault="455D1EBA" w:rsidP="455D1EBA">
      <w:pPr>
        <w:spacing w:after="0" w:line="259" w:lineRule="auto"/>
        <w:ind w:left="0"/>
      </w:pPr>
    </w:p>
    <w:p w14:paraId="5B89BB17" w14:textId="71D2A666" w:rsidR="00E1261F" w:rsidRPr="0058197C" w:rsidRDefault="56B2CCE2" w:rsidP="2FD54C7E">
      <w:pPr>
        <w:spacing w:after="0" w:line="240" w:lineRule="auto"/>
        <w:ind w:left="0"/>
      </w:pPr>
      <w:r>
        <w:rPr>
          <w:noProof/>
        </w:rPr>
        <w:lastRenderedPageBreak/>
        <w:drawing>
          <wp:inline distT="0" distB="0" distL="0" distR="0" wp14:anchorId="375DD19A" wp14:editId="3708755C">
            <wp:extent cx="5943600" cy="5019676"/>
            <wp:effectExtent l="0" t="0" r="0" b="0"/>
            <wp:docPr id="1878246301" name="Picture 1878246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246301"/>
                    <pic:cNvPicPr/>
                  </pic:nvPicPr>
                  <pic:blipFill>
                    <a:blip r:embed="rId14">
                      <a:extLst>
                        <a:ext uri="{28A0092B-C50C-407E-A947-70E740481C1C}">
                          <a14:useLocalDpi xmlns:a14="http://schemas.microsoft.com/office/drawing/2010/main" val="0"/>
                        </a:ext>
                      </a:extLst>
                    </a:blip>
                    <a:stretch>
                      <a:fillRect/>
                    </a:stretch>
                  </pic:blipFill>
                  <pic:spPr>
                    <a:xfrm>
                      <a:off x="0" y="0"/>
                      <a:ext cx="5943600" cy="5019676"/>
                    </a:xfrm>
                    <a:prstGeom prst="rect">
                      <a:avLst/>
                    </a:prstGeom>
                  </pic:spPr>
                </pic:pic>
              </a:graphicData>
            </a:graphic>
          </wp:inline>
        </w:drawing>
      </w:r>
    </w:p>
    <w:p w14:paraId="36D105EE" w14:textId="432A1E07" w:rsidR="00F30196" w:rsidRDefault="00F30196" w:rsidP="2FD54C7E">
      <w:pPr>
        <w:spacing w:after="0" w:line="240" w:lineRule="auto"/>
        <w:ind w:left="0"/>
        <w:jc w:val="both"/>
      </w:pPr>
      <w:r w:rsidRPr="455D1EBA">
        <w:rPr>
          <w:b/>
          <w:bCs/>
        </w:rPr>
        <w:t>Figure S</w:t>
      </w:r>
      <w:r w:rsidR="036B70C9" w:rsidRPr="455D1EBA">
        <w:rPr>
          <w:b/>
          <w:bCs/>
        </w:rPr>
        <w:t>7</w:t>
      </w:r>
      <w:r w:rsidRPr="455D1EBA">
        <w:rPr>
          <w:b/>
          <w:bCs/>
        </w:rPr>
        <w:t>.</w:t>
      </w:r>
      <w:r>
        <w:t xml:space="preserve"> </w:t>
      </w:r>
      <w:r w:rsidRPr="455D1EBA">
        <w:rPr>
          <w:b/>
          <w:bCs/>
        </w:rPr>
        <w:t>Number of sites used to calculate Normalized Mean Bias of morning NO</w:t>
      </w:r>
      <w:r w:rsidRPr="455D1EBA">
        <w:rPr>
          <w:b/>
          <w:bCs/>
          <w:vertAlign w:val="subscript"/>
        </w:rPr>
        <w:t>X</w:t>
      </w:r>
      <w:r w:rsidRPr="455D1EBA">
        <w:rPr>
          <w:b/>
          <w:bCs/>
        </w:rPr>
        <w:t xml:space="preserve"> in Figure </w:t>
      </w:r>
      <w:r w:rsidR="00B11622">
        <w:rPr>
          <w:b/>
          <w:bCs/>
        </w:rPr>
        <w:t>5</w:t>
      </w:r>
      <w:r w:rsidRPr="455D1EBA">
        <w:rPr>
          <w:b/>
          <w:bCs/>
        </w:rPr>
        <w:t>.</w:t>
      </w:r>
      <w:r>
        <w:t xml:space="preserve">  Morning hours considered are 4-9 a.m. LST. NMB is shown by region and year/season. West = CA, NV; Northwest  = OR, WA, ID, MT, NE, ND, SD, WY; Upper Midwest = IA, MI, MN, WI; Ohio Valley = IL, IN, KY, MO, OH, TN, WV; Northeast = CT, DE, ME, MD, MA, NH, MJ, NY, PA, RI, VT; Southwest = AZ, CO, NM, UT; South = AR, KS, LA, MS, OK, TX; Southeast = AL, FL, GA, NC, SC, VA </w:t>
      </w:r>
    </w:p>
    <w:p w14:paraId="11252F38" w14:textId="368513DB" w:rsidR="00E1261F" w:rsidRPr="0058197C" w:rsidRDefault="455D1EBA" w:rsidP="516872F0">
      <w:pPr>
        <w:spacing w:after="0" w:line="240" w:lineRule="auto"/>
        <w:ind w:left="0"/>
      </w:pPr>
      <w:r>
        <w:br w:type="page"/>
      </w:r>
      <w:r w:rsidR="785D1837">
        <w:rPr>
          <w:noProof/>
        </w:rPr>
        <w:lastRenderedPageBreak/>
        <w:drawing>
          <wp:inline distT="0" distB="0" distL="0" distR="0" wp14:anchorId="155AA133" wp14:editId="2073D85E">
            <wp:extent cx="5943600" cy="3552825"/>
            <wp:effectExtent l="0" t="0" r="0" b="0"/>
            <wp:docPr id="549931874" name="Picture 54993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931874"/>
                    <pic:cNvPicPr/>
                  </pic:nvPicPr>
                  <pic:blipFill>
                    <a:blip r:embed="rId15">
                      <a:extLst>
                        <a:ext uri="{28A0092B-C50C-407E-A947-70E740481C1C}">
                          <a14:useLocalDpi xmlns:a14="http://schemas.microsoft.com/office/drawing/2010/main" val="0"/>
                        </a:ext>
                      </a:extLst>
                    </a:blip>
                    <a:stretch>
                      <a:fillRect/>
                    </a:stretch>
                  </pic:blipFill>
                  <pic:spPr>
                    <a:xfrm>
                      <a:off x="0" y="0"/>
                      <a:ext cx="5943600" cy="3552825"/>
                    </a:xfrm>
                    <a:prstGeom prst="rect">
                      <a:avLst/>
                    </a:prstGeom>
                  </pic:spPr>
                </pic:pic>
              </a:graphicData>
            </a:graphic>
          </wp:inline>
        </w:drawing>
      </w:r>
      <w:r w:rsidR="25394435" w:rsidRPr="46007DA3">
        <w:rPr>
          <w:b/>
          <w:bCs/>
        </w:rPr>
        <w:t>Figure S</w:t>
      </w:r>
      <w:r w:rsidR="50612313" w:rsidRPr="46007DA3">
        <w:rPr>
          <w:b/>
          <w:bCs/>
        </w:rPr>
        <w:t>8</w:t>
      </w:r>
      <w:r w:rsidR="25394435" w:rsidRPr="46007DA3">
        <w:rPr>
          <w:b/>
          <w:bCs/>
        </w:rPr>
        <w:t>. METAR stations</w:t>
      </w:r>
      <w:r w:rsidR="49AF7E46" w:rsidRPr="46007DA3">
        <w:rPr>
          <w:b/>
          <w:bCs/>
        </w:rPr>
        <w:t>.</w:t>
      </w:r>
      <w:r w:rsidR="49AF7E46">
        <w:t xml:space="preserve"> Weather stations</w:t>
      </w:r>
      <w:r w:rsidR="25394435">
        <w:t xml:space="preserve"> </w:t>
      </w:r>
      <w:r w:rsidR="4A8DB122">
        <w:t>used to evaluate the WRF meteorological model in Figures S</w:t>
      </w:r>
      <w:r w:rsidR="3A5F5B9B">
        <w:t>9</w:t>
      </w:r>
      <w:r w:rsidR="4A8DB122">
        <w:t xml:space="preserve"> </w:t>
      </w:r>
      <w:r w:rsidR="52645B25">
        <w:t>– S</w:t>
      </w:r>
      <w:r w:rsidR="4EEB4464">
        <w:t>11</w:t>
      </w:r>
      <w:r w:rsidR="4A8DB122">
        <w:t>.</w:t>
      </w:r>
    </w:p>
    <w:p w14:paraId="26C43692" w14:textId="5137A143" w:rsidR="0F459D0D" w:rsidRDefault="1EED09E1" w:rsidP="516872F0">
      <w:pPr>
        <w:spacing w:after="0" w:line="259" w:lineRule="auto"/>
        <w:ind w:left="0"/>
        <w:jc w:val="both"/>
      </w:pPr>
      <w:r>
        <w:rPr>
          <w:noProof/>
        </w:rPr>
        <w:lastRenderedPageBreak/>
        <w:drawing>
          <wp:inline distT="0" distB="0" distL="0" distR="0" wp14:anchorId="28BF4C2C" wp14:editId="671C345A">
            <wp:extent cx="5943600" cy="5019676"/>
            <wp:effectExtent l="0" t="0" r="0" b="0"/>
            <wp:docPr id="2118933330" name="Picture 211893333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933330"/>
                    <pic:cNvPicPr/>
                  </pic:nvPicPr>
                  <pic:blipFill>
                    <a:blip r:embed="rId16">
                      <a:extLst>
                        <a:ext uri="{28A0092B-C50C-407E-A947-70E740481C1C}">
                          <a14:useLocalDpi xmlns:a14="http://schemas.microsoft.com/office/drawing/2010/main" val="0"/>
                        </a:ext>
                      </a:extLst>
                    </a:blip>
                    <a:stretch>
                      <a:fillRect/>
                    </a:stretch>
                  </pic:blipFill>
                  <pic:spPr>
                    <a:xfrm>
                      <a:off x="0" y="0"/>
                      <a:ext cx="5943600" cy="5019676"/>
                    </a:xfrm>
                    <a:prstGeom prst="rect">
                      <a:avLst/>
                    </a:prstGeom>
                  </pic:spPr>
                </pic:pic>
              </a:graphicData>
            </a:graphic>
          </wp:inline>
        </w:drawing>
      </w:r>
    </w:p>
    <w:p w14:paraId="1D650F1B" w14:textId="1F2A25FD" w:rsidR="455D1EBA" w:rsidRDefault="25394435" w:rsidP="455D1EBA">
      <w:pPr>
        <w:spacing w:after="0" w:line="240" w:lineRule="auto"/>
        <w:ind w:left="0"/>
      </w:pPr>
      <w:r w:rsidRPr="516872F0">
        <w:rPr>
          <w:b/>
          <w:bCs/>
        </w:rPr>
        <w:t>Figure S</w:t>
      </w:r>
      <w:r w:rsidR="4403AD4A" w:rsidRPr="516872F0">
        <w:rPr>
          <w:b/>
          <w:bCs/>
        </w:rPr>
        <w:t>9</w:t>
      </w:r>
      <w:r w:rsidRPr="516872F0">
        <w:rPr>
          <w:b/>
          <w:bCs/>
        </w:rPr>
        <w:t>.</w:t>
      </w:r>
      <w:r>
        <w:t xml:space="preserve">  </w:t>
      </w:r>
      <w:r w:rsidR="36C2F894" w:rsidRPr="516872F0">
        <w:rPr>
          <w:b/>
          <w:bCs/>
        </w:rPr>
        <w:t>Mean Bias (MB) of 2 m</w:t>
      </w:r>
      <w:r w:rsidR="52645B25" w:rsidRPr="516872F0">
        <w:rPr>
          <w:b/>
          <w:bCs/>
        </w:rPr>
        <w:t>eters</w:t>
      </w:r>
      <w:r w:rsidR="36C2F894" w:rsidRPr="516872F0">
        <w:rPr>
          <w:b/>
          <w:bCs/>
        </w:rPr>
        <w:t xml:space="preserve"> temperature. </w:t>
      </w:r>
      <w:r w:rsidR="36C2F894">
        <w:t xml:space="preserve">Data have been aggregated by season for each annual simulation across all </w:t>
      </w:r>
      <w:r w:rsidR="538A1CB7">
        <w:t xml:space="preserve">METAR stations </w:t>
      </w:r>
      <w:r w:rsidR="36C2F894">
        <w:t>in US domain (Fig. S</w:t>
      </w:r>
      <w:r w:rsidR="4201484E">
        <w:t>8</w:t>
      </w:r>
      <w:r w:rsidR="36C2F894">
        <w:t xml:space="preserve">). </w:t>
      </w:r>
    </w:p>
    <w:p w14:paraId="51DD26EF" w14:textId="3020517C" w:rsidR="0F459D0D" w:rsidRDefault="56C6F991" w:rsidP="516872F0">
      <w:pPr>
        <w:spacing w:after="0" w:line="240" w:lineRule="auto"/>
        <w:ind w:left="0"/>
        <w:jc w:val="both"/>
      </w:pPr>
      <w:r>
        <w:rPr>
          <w:noProof/>
        </w:rPr>
        <w:lastRenderedPageBreak/>
        <w:drawing>
          <wp:inline distT="0" distB="0" distL="0" distR="0" wp14:anchorId="1F850CFA" wp14:editId="31D37685">
            <wp:extent cx="5943600" cy="5019676"/>
            <wp:effectExtent l="0" t="0" r="0" b="0"/>
            <wp:docPr id="1046788580" name="Picture 1046788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788580"/>
                    <pic:cNvPicPr/>
                  </pic:nvPicPr>
                  <pic:blipFill>
                    <a:blip r:embed="rId17">
                      <a:extLst>
                        <a:ext uri="{28A0092B-C50C-407E-A947-70E740481C1C}">
                          <a14:useLocalDpi xmlns:a14="http://schemas.microsoft.com/office/drawing/2010/main" val="0"/>
                        </a:ext>
                      </a:extLst>
                    </a:blip>
                    <a:stretch>
                      <a:fillRect/>
                    </a:stretch>
                  </pic:blipFill>
                  <pic:spPr>
                    <a:xfrm>
                      <a:off x="0" y="0"/>
                      <a:ext cx="5943600" cy="5019676"/>
                    </a:xfrm>
                    <a:prstGeom prst="rect">
                      <a:avLst/>
                    </a:prstGeom>
                  </pic:spPr>
                </pic:pic>
              </a:graphicData>
            </a:graphic>
          </wp:inline>
        </w:drawing>
      </w:r>
    </w:p>
    <w:p w14:paraId="0B2DD339" w14:textId="3B2563A9" w:rsidR="0F459D0D" w:rsidRDefault="01B3BE40" w:rsidP="00B11622">
      <w:pPr>
        <w:spacing w:after="0" w:line="240" w:lineRule="auto"/>
        <w:ind w:left="0"/>
        <w:jc w:val="both"/>
      </w:pPr>
      <w:r w:rsidRPr="516872F0">
        <w:rPr>
          <w:b/>
          <w:bCs/>
        </w:rPr>
        <w:t>Figure S</w:t>
      </w:r>
      <w:r w:rsidR="06BA37E4" w:rsidRPr="516872F0">
        <w:rPr>
          <w:b/>
          <w:bCs/>
        </w:rPr>
        <w:t>10</w:t>
      </w:r>
      <w:r w:rsidRPr="516872F0">
        <w:rPr>
          <w:b/>
          <w:bCs/>
        </w:rPr>
        <w:t>.</w:t>
      </w:r>
      <w:r>
        <w:t xml:space="preserve">  </w:t>
      </w:r>
      <w:r w:rsidRPr="516872F0">
        <w:rPr>
          <w:b/>
          <w:bCs/>
        </w:rPr>
        <w:t>Mean Bias (MB) of 10 meter</w:t>
      </w:r>
      <w:r w:rsidR="52645B25" w:rsidRPr="516872F0">
        <w:rPr>
          <w:b/>
          <w:bCs/>
        </w:rPr>
        <w:t>s</w:t>
      </w:r>
      <w:r w:rsidRPr="516872F0">
        <w:rPr>
          <w:b/>
          <w:bCs/>
        </w:rPr>
        <w:t xml:space="preserve"> </w:t>
      </w:r>
      <w:proofErr w:type="spellStart"/>
      <w:r w:rsidRPr="516872F0">
        <w:rPr>
          <w:b/>
          <w:bCs/>
        </w:rPr>
        <w:t>windspeed</w:t>
      </w:r>
      <w:proofErr w:type="spellEnd"/>
      <w:r w:rsidRPr="516872F0">
        <w:rPr>
          <w:b/>
          <w:bCs/>
        </w:rPr>
        <w:t xml:space="preserve">. </w:t>
      </w:r>
      <w:r>
        <w:t>Data have been aggregated by season for each annual simulation across all METAR stations in US domain (Fig. S</w:t>
      </w:r>
      <w:r w:rsidR="5BDBD75C">
        <w:t>8</w:t>
      </w:r>
      <w:r>
        <w:t>).</w:t>
      </w:r>
    </w:p>
    <w:p w14:paraId="172257D9" w14:textId="4593BD74" w:rsidR="0F459D0D" w:rsidRDefault="297F1352" w:rsidP="516872F0">
      <w:pPr>
        <w:spacing w:after="0" w:line="240" w:lineRule="auto"/>
        <w:ind w:left="0"/>
        <w:jc w:val="both"/>
      </w:pPr>
      <w:r>
        <w:rPr>
          <w:noProof/>
        </w:rPr>
        <w:lastRenderedPageBreak/>
        <w:drawing>
          <wp:inline distT="0" distB="0" distL="0" distR="0" wp14:anchorId="4DFB4DE9" wp14:editId="38AC6C78">
            <wp:extent cx="5943600" cy="5019676"/>
            <wp:effectExtent l="0" t="0" r="0" b="0"/>
            <wp:docPr id="1341490902" name="Picture 1341490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490902"/>
                    <pic:cNvPicPr/>
                  </pic:nvPicPr>
                  <pic:blipFill>
                    <a:blip r:embed="rId18">
                      <a:extLst>
                        <a:ext uri="{28A0092B-C50C-407E-A947-70E740481C1C}">
                          <a14:useLocalDpi xmlns:a14="http://schemas.microsoft.com/office/drawing/2010/main" val="0"/>
                        </a:ext>
                      </a:extLst>
                    </a:blip>
                    <a:stretch>
                      <a:fillRect/>
                    </a:stretch>
                  </pic:blipFill>
                  <pic:spPr>
                    <a:xfrm>
                      <a:off x="0" y="0"/>
                      <a:ext cx="5943600" cy="5019676"/>
                    </a:xfrm>
                    <a:prstGeom prst="rect">
                      <a:avLst/>
                    </a:prstGeom>
                  </pic:spPr>
                </pic:pic>
              </a:graphicData>
            </a:graphic>
          </wp:inline>
        </w:drawing>
      </w:r>
    </w:p>
    <w:p w14:paraId="1CFB1A02" w14:textId="7084105D" w:rsidR="0F459D0D" w:rsidRDefault="00B71F9B" w:rsidP="00B11622">
      <w:pPr>
        <w:spacing w:after="0" w:line="240" w:lineRule="auto"/>
        <w:ind w:left="0"/>
        <w:jc w:val="both"/>
      </w:pPr>
      <w:r w:rsidRPr="516872F0">
        <w:rPr>
          <w:b/>
          <w:bCs/>
        </w:rPr>
        <w:t>Figure S</w:t>
      </w:r>
      <w:r w:rsidR="1D608C17" w:rsidRPr="516872F0">
        <w:rPr>
          <w:b/>
          <w:bCs/>
        </w:rPr>
        <w:t>11</w:t>
      </w:r>
      <w:r w:rsidRPr="516872F0">
        <w:rPr>
          <w:b/>
          <w:bCs/>
        </w:rPr>
        <w:t>.</w:t>
      </w:r>
      <w:r>
        <w:t xml:space="preserve">  </w:t>
      </w:r>
      <w:r w:rsidRPr="516872F0">
        <w:rPr>
          <w:b/>
          <w:bCs/>
        </w:rPr>
        <w:t>Mean Bias (MB) of 2</w:t>
      </w:r>
      <w:r w:rsidR="50A0D321" w:rsidRPr="516872F0">
        <w:rPr>
          <w:b/>
          <w:bCs/>
        </w:rPr>
        <w:t xml:space="preserve"> meter</w:t>
      </w:r>
      <w:r w:rsidR="52645B25" w:rsidRPr="516872F0">
        <w:rPr>
          <w:b/>
          <w:bCs/>
        </w:rPr>
        <w:t>s</w:t>
      </w:r>
      <w:r w:rsidR="50A0D321" w:rsidRPr="516872F0">
        <w:rPr>
          <w:b/>
          <w:bCs/>
        </w:rPr>
        <w:t xml:space="preserve"> water vapor</w:t>
      </w:r>
      <w:r w:rsidRPr="516872F0">
        <w:rPr>
          <w:b/>
          <w:bCs/>
        </w:rPr>
        <w:t xml:space="preserve"> mixing ratio.</w:t>
      </w:r>
      <w:r w:rsidR="7C8E69A8" w:rsidRPr="516872F0">
        <w:rPr>
          <w:b/>
          <w:bCs/>
        </w:rPr>
        <w:t xml:space="preserve"> </w:t>
      </w:r>
      <w:r w:rsidR="7C8E69A8">
        <w:t>Water vapor mixing ratio is a measure of the moisture in the air and is approximately equal to specific humidity.</w:t>
      </w:r>
      <w:r w:rsidRPr="516872F0">
        <w:rPr>
          <w:b/>
          <w:bCs/>
        </w:rPr>
        <w:t xml:space="preserve"> </w:t>
      </w:r>
      <w:r>
        <w:t>Data have been aggregated by season for each annual simulation across all METAR stations in US domain (Fig. S</w:t>
      </w:r>
      <w:r w:rsidR="0B579A27">
        <w:t>8</w:t>
      </w:r>
      <w:r>
        <w:t>).</w:t>
      </w:r>
    </w:p>
    <w:p w14:paraId="7B486ACA" w14:textId="51085D85" w:rsidR="455D1EBA" w:rsidRDefault="455D1EBA" w:rsidP="455D1EBA">
      <w:pPr>
        <w:spacing w:after="0" w:line="240" w:lineRule="auto"/>
        <w:ind w:left="0"/>
      </w:pPr>
    </w:p>
    <w:p w14:paraId="064889AE" w14:textId="30C97944" w:rsidR="0F459D0D" w:rsidRDefault="0F459D0D" w:rsidP="455D1EBA">
      <w:pPr>
        <w:spacing w:after="0" w:line="240" w:lineRule="auto"/>
        <w:ind w:left="0"/>
      </w:pPr>
      <w:r>
        <w:br/>
      </w:r>
    </w:p>
    <w:p w14:paraId="235AD103" w14:textId="6A0E6196" w:rsidR="455D1EBA" w:rsidRDefault="455D1EBA" w:rsidP="455D1EBA">
      <w:pPr>
        <w:spacing w:after="0" w:line="240" w:lineRule="auto"/>
        <w:ind w:left="0"/>
      </w:pPr>
    </w:p>
    <w:p w14:paraId="5A9123C6" w14:textId="4DC7809A" w:rsidR="00E1261F" w:rsidRPr="003F52DE" w:rsidRDefault="72C54993" w:rsidP="00E1261F">
      <w:pPr>
        <w:pStyle w:val="NoSpacing"/>
      </w:pPr>
      <w:r>
        <w:rPr>
          <w:noProof/>
        </w:rPr>
        <w:lastRenderedPageBreak/>
        <w:drawing>
          <wp:inline distT="0" distB="0" distL="0" distR="0" wp14:anchorId="71A48702" wp14:editId="0EE1EA5E">
            <wp:extent cx="5943600" cy="5019676"/>
            <wp:effectExtent l="0" t="0" r="0" b="0"/>
            <wp:docPr id="1796718237" name="Picture 1796718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6718237"/>
                    <pic:cNvPicPr/>
                  </pic:nvPicPr>
                  <pic:blipFill>
                    <a:blip r:embed="rId19">
                      <a:extLst>
                        <a:ext uri="{28A0092B-C50C-407E-A947-70E740481C1C}">
                          <a14:useLocalDpi xmlns:a14="http://schemas.microsoft.com/office/drawing/2010/main" val="0"/>
                        </a:ext>
                      </a:extLst>
                    </a:blip>
                    <a:stretch>
                      <a:fillRect/>
                    </a:stretch>
                  </pic:blipFill>
                  <pic:spPr>
                    <a:xfrm>
                      <a:off x="0" y="0"/>
                      <a:ext cx="5943600" cy="5019676"/>
                    </a:xfrm>
                    <a:prstGeom prst="rect">
                      <a:avLst/>
                    </a:prstGeom>
                  </pic:spPr>
                </pic:pic>
              </a:graphicData>
            </a:graphic>
          </wp:inline>
        </w:drawing>
      </w:r>
    </w:p>
    <w:p w14:paraId="2862404A" w14:textId="2B88CB6A" w:rsidR="00E1261F" w:rsidRPr="0058197C" w:rsidRDefault="00F30196" w:rsidP="2FD54C7E">
      <w:pPr>
        <w:spacing w:after="0" w:line="240" w:lineRule="auto"/>
        <w:ind w:left="0"/>
      </w:pPr>
      <w:r w:rsidRPr="455D1EBA">
        <w:rPr>
          <w:b/>
          <w:bCs/>
        </w:rPr>
        <w:t>Figure S</w:t>
      </w:r>
      <w:r w:rsidR="1E619770" w:rsidRPr="455D1EBA">
        <w:rPr>
          <w:b/>
          <w:bCs/>
        </w:rPr>
        <w:t>12</w:t>
      </w:r>
      <w:r w:rsidRPr="455D1EBA">
        <w:rPr>
          <w:b/>
          <w:bCs/>
        </w:rPr>
        <w:t>.</w:t>
      </w:r>
      <w:r>
        <w:t xml:space="preserve"> </w:t>
      </w:r>
      <w:r w:rsidRPr="455D1EBA">
        <w:rPr>
          <w:b/>
          <w:bCs/>
        </w:rPr>
        <w:t>Normalized Mean Error (NME) of morning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Morning hours are 4-9 a.m. LST. Data has been aggregated by season for each annual simulation across monitors in multiple regions defined by NOAA climate region (Fig. S1). West = CA, NV; Northwest = OR, WA, ID, MT, NE, ND, SD, WY; Upper Midwest = IA, MI, MN, WI; Ohio Valley = IL, IN, KY, MO, OH, TN, WV; Northeast = CT, DE, ME, MD, MA, NH, MJ, NY, PA, RI, VT; Southwest = AZ, CO, NM, UT; South = AR, KS, LA, MS, OK, TX; Southeast = AL, FL, GA, NC, SC, VA</w:t>
      </w:r>
      <w:r>
        <w:br w:type="page"/>
      </w:r>
    </w:p>
    <w:p w14:paraId="5C49282E" w14:textId="77777777" w:rsidR="00E1261F" w:rsidRDefault="00E1261F" w:rsidP="00E1261F">
      <w:pPr>
        <w:spacing w:after="0" w:line="240" w:lineRule="auto"/>
        <w:ind w:left="0"/>
        <w:rPr>
          <w:rFonts w:cstheme="minorHAnsi"/>
        </w:rPr>
      </w:pPr>
    </w:p>
    <w:p w14:paraId="7D97499E" w14:textId="77777777" w:rsidR="00E1261F" w:rsidRPr="0058197C" w:rsidRDefault="00E1261F" w:rsidP="00E1261F">
      <w:pPr>
        <w:spacing w:after="0" w:line="240" w:lineRule="auto"/>
        <w:ind w:left="0"/>
        <w:rPr>
          <w:rFonts w:cstheme="minorHAnsi"/>
        </w:rPr>
      </w:pPr>
    </w:p>
    <w:p w14:paraId="2FF03B98" w14:textId="56D4BB06" w:rsidR="00E1261F" w:rsidRPr="0058197C" w:rsidRDefault="12761B6B" w:rsidP="00A85C66">
      <w:pPr>
        <w:jc w:val="center"/>
      </w:pPr>
      <w:r>
        <w:rPr>
          <w:noProof/>
        </w:rPr>
        <w:drawing>
          <wp:inline distT="0" distB="0" distL="0" distR="0" wp14:anchorId="56D3789E" wp14:editId="4FF35E4B">
            <wp:extent cx="5943600" cy="5019676"/>
            <wp:effectExtent l="0" t="0" r="0" b="0"/>
            <wp:docPr id="1865173409" name="Picture 186517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173409"/>
                    <pic:cNvPicPr/>
                  </pic:nvPicPr>
                  <pic:blipFill>
                    <a:blip r:embed="rId20">
                      <a:extLst>
                        <a:ext uri="{28A0092B-C50C-407E-A947-70E740481C1C}">
                          <a14:useLocalDpi xmlns:a14="http://schemas.microsoft.com/office/drawing/2010/main" val="0"/>
                        </a:ext>
                      </a:extLst>
                    </a:blip>
                    <a:stretch>
                      <a:fillRect/>
                    </a:stretch>
                  </pic:blipFill>
                  <pic:spPr>
                    <a:xfrm>
                      <a:off x="0" y="0"/>
                      <a:ext cx="5943600" cy="5019676"/>
                    </a:xfrm>
                    <a:prstGeom prst="rect">
                      <a:avLst/>
                    </a:prstGeom>
                  </pic:spPr>
                </pic:pic>
              </a:graphicData>
            </a:graphic>
          </wp:inline>
        </w:drawing>
      </w:r>
    </w:p>
    <w:p w14:paraId="42B27C8A" w14:textId="55B8C7E8" w:rsidR="00E1261F" w:rsidRDefault="00F30196" w:rsidP="2FD54C7E">
      <w:pPr>
        <w:spacing w:after="0" w:line="240" w:lineRule="auto"/>
        <w:ind w:left="0"/>
      </w:pPr>
      <w:r w:rsidRPr="455D1EBA">
        <w:rPr>
          <w:b/>
          <w:bCs/>
        </w:rPr>
        <w:t>Figure S</w:t>
      </w:r>
      <w:r w:rsidR="79CADCEC" w:rsidRPr="455D1EBA">
        <w:rPr>
          <w:b/>
          <w:bCs/>
        </w:rPr>
        <w:t>13</w:t>
      </w:r>
      <w:r>
        <w:t xml:space="preserve">. </w:t>
      </w:r>
      <w:r w:rsidRPr="455D1EBA">
        <w:rPr>
          <w:b/>
          <w:bCs/>
        </w:rPr>
        <w:t>Correlation (R</w:t>
      </w:r>
      <w:r w:rsidRPr="455D1EBA">
        <w:rPr>
          <w:b/>
          <w:bCs/>
          <w:vertAlign w:val="superscript"/>
        </w:rPr>
        <w:t>2</w:t>
      </w:r>
      <w:r w:rsidRPr="455D1EBA">
        <w:rPr>
          <w:b/>
          <w:bCs/>
        </w:rPr>
        <w:t>) of morning modeled NO</w:t>
      </w:r>
      <w:r w:rsidRPr="455D1EBA">
        <w:rPr>
          <w:b/>
          <w:bCs/>
          <w:vertAlign w:val="subscript"/>
        </w:rPr>
        <w:t>X</w:t>
      </w:r>
      <w:r w:rsidRPr="455D1EBA">
        <w:rPr>
          <w:b/>
          <w:bCs/>
        </w:rPr>
        <w:t xml:space="preserve"> and observed NO</w:t>
      </w:r>
      <w:r w:rsidRPr="455D1EBA">
        <w:rPr>
          <w:b/>
          <w:bCs/>
          <w:vertAlign w:val="subscript"/>
        </w:rPr>
        <w:t>X</w:t>
      </w:r>
      <w:r w:rsidRPr="455D1EBA">
        <w:rPr>
          <w:vertAlign w:val="subscript"/>
        </w:rPr>
        <w:t>.</w:t>
      </w:r>
      <w:r>
        <w:t xml:space="preserve"> Morning hours are 4-9 a.m. LST. Data has been aggregated by season for each annual simulation across monitors in multiple regions defined by NOAA climate region (Fig. S1). West = CA, NV; Northwest = OR, WA, ID, MT, NE, ND, SD, WY; Upper Midwest = IA, MI, MN, WI; Ohio Valley = IL, IN, KY, MO, OH, TN, WV; Northeast = CT, DE, ME, MD, MA, NH, MJ, NY, PA, RI, VT; Southwest = AZ, CO, NM, UT; South = AR, KS, LA, MS, OK, TX; Southeast = AL, FL, GA, NC, SC, VA</w:t>
      </w:r>
    </w:p>
    <w:p w14:paraId="54608AD4" w14:textId="77777777" w:rsidR="00E1261F" w:rsidRDefault="00E1261F" w:rsidP="455D1EBA">
      <w:r w:rsidRPr="455D1EBA">
        <w:br w:type="page"/>
      </w:r>
    </w:p>
    <w:p w14:paraId="48E4952B" w14:textId="29CE53EF" w:rsidR="1519C835" w:rsidRDefault="55772EBA" w:rsidP="46007DA3">
      <w:r>
        <w:rPr>
          <w:noProof/>
        </w:rPr>
        <w:lastRenderedPageBreak/>
        <w:drawing>
          <wp:inline distT="0" distB="0" distL="0" distR="0" wp14:anchorId="320F316E" wp14:editId="3D666B69">
            <wp:extent cx="5562600" cy="4697902"/>
            <wp:effectExtent l="0" t="0" r="0" b="7620"/>
            <wp:docPr id="1570403804" name="Picture 157040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5571879" cy="4705738"/>
                    </a:xfrm>
                    <a:prstGeom prst="rect">
                      <a:avLst/>
                    </a:prstGeom>
                  </pic:spPr>
                </pic:pic>
              </a:graphicData>
            </a:graphic>
          </wp:inline>
        </w:drawing>
      </w:r>
    </w:p>
    <w:p w14:paraId="237900EA" w14:textId="405E3462" w:rsidR="1519C835" w:rsidRDefault="517A3170" w:rsidP="0048052C">
      <w:pPr>
        <w:pStyle w:val="Caption"/>
        <w:ind w:left="0"/>
        <w:rPr>
          <w:rFonts w:ascii="Times" w:eastAsia="Times" w:hAnsi="Times" w:cs="Times"/>
          <w:sz w:val="17"/>
          <w:szCs w:val="17"/>
        </w:rPr>
      </w:pPr>
      <w:r w:rsidRPr="6C9B8DC4">
        <w:rPr>
          <w:rFonts w:eastAsia="Times"/>
          <w:b/>
          <w:bCs/>
          <w:color w:val="auto"/>
          <w:sz w:val="22"/>
          <w:szCs w:val="22"/>
        </w:rPr>
        <w:t xml:space="preserve">Figure </w:t>
      </w:r>
      <w:r w:rsidR="37E5BC08" w:rsidRPr="6C9B8DC4">
        <w:rPr>
          <w:rFonts w:eastAsia="Times"/>
          <w:b/>
          <w:bCs/>
          <w:color w:val="auto"/>
          <w:sz w:val="22"/>
          <w:szCs w:val="22"/>
        </w:rPr>
        <w:t>S</w:t>
      </w:r>
      <w:r w:rsidRPr="6C9B8DC4">
        <w:rPr>
          <w:rFonts w:eastAsia="Times"/>
          <w:b/>
          <w:bCs/>
          <w:color w:val="auto"/>
          <w:sz w:val="22"/>
          <w:szCs w:val="22"/>
        </w:rPr>
        <w:t>14. A</w:t>
      </w:r>
      <w:r w:rsidR="0475AF7A" w:rsidRPr="6C9B8DC4">
        <w:rPr>
          <w:rFonts w:eastAsia="Times"/>
          <w:b/>
          <w:bCs/>
          <w:color w:val="auto"/>
          <w:sz w:val="22"/>
          <w:szCs w:val="22"/>
        </w:rPr>
        <w:t>s in Figure 5 of the main paper, but for modeled NO</w:t>
      </w:r>
      <w:r w:rsidR="0475AF7A" w:rsidRPr="6C9B8DC4">
        <w:rPr>
          <w:rFonts w:eastAsia="Times"/>
          <w:b/>
          <w:bCs/>
          <w:color w:val="auto"/>
          <w:sz w:val="22"/>
          <w:szCs w:val="22"/>
          <w:vertAlign w:val="subscript"/>
        </w:rPr>
        <w:t>Y</w:t>
      </w:r>
      <w:r w:rsidR="0475AF7A" w:rsidRPr="6C9B8DC4">
        <w:rPr>
          <w:rFonts w:eastAsia="Times New Roman"/>
          <w:b/>
          <w:bCs/>
          <w:color w:val="auto"/>
          <w:sz w:val="22"/>
          <w:szCs w:val="22"/>
        </w:rPr>
        <w:t xml:space="preserve"> – </w:t>
      </w:r>
      <w:r w:rsidR="0475AF7A" w:rsidRPr="6C9B8DC4">
        <w:rPr>
          <w:rFonts w:eastAsia="Times"/>
          <w:b/>
          <w:bCs/>
          <w:color w:val="auto"/>
          <w:sz w:val="22"/>
          <w:szCs w:val="22"/>
        </w:rPr>
        <w:t>observed NO</w:t>
      </w:r>
      <w:r w:rsidR="007E4CBB" w:rsidRPr="6C9B8DC4">
        <w:rPr>
          <w:rFonts w:eastAsia="Times"/>
          <w:b/>
          <w:bCs/>
          <w:color w:val="auto"/>
          <w:sz w:val="22"/>
          <w:szCs w:val="22"/>
          <w:vertAlign w:val="subscript"/>
        </w:rPr>
        <w:t>X</w:t>
      </w:r>
    </w:p>
    <w:p w14:paraId="3F748ECD" w14:textId="1BF61BD1" w:rsidR="455D1EBA" w:rsidRDefault="00B11622" w:rsidP="00B11622">
      <w:pPr>
        <w:spacing w:line="259" w:lineRule="auto"/>
        <w:ind w:left="0"/>
      </w:pPr>
      <w:r>
        <w:br w:type="page"/>
      </w:r>
    </w:p>
    <w:p w14:paraId="16BAD8E9" w14:textId="73362EAF" w:rsidR="00E1261F" w:rsidRPr="0058197C" w:rsidRDefault="63BA35A8" w:rsidP="2FD54C7E">
      <w:pPr>
        <w:pStyle w:val="Caption"/>
        <w:spacing w:after="0"/>
        <w:ind w:left="0"/>
        <w:rPr>
          <w:color w:val="auto"/>
          <w:sz w:val="22"/>
          <w:szCs w:val="22"/>
        </w:rPr>
      </w:pPr>
      <w:r>
        <w:rPr>
          <w:noProof/>
        </w:rPr>
        <w:lastRenderedPageBreak/>
        <w:drawing>
          <wp:inline distT="0" distB="0" distL="0" distR="0" wp14:anchorId="387F1034" wp14:editId="37838216">
            <wp:extent cx="5826589" cy="1783080"/>
            <wp:effectExtent l="0" t="0" r="0" b="0"/>
            <wp:docPr id="1550067542" name="Picture 1550067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0067542"/>
                    <pic:cNvPicPr/>
                  </pic:nvPicPr>
                  <pic:blipFill>
                    <a:blip r:embed="rId22">
                      <a:extLst>
                        <a:ext uri="{28A0092B-C50C-407E-A947-70E740481C1C}">
                          <a14:useLocalDpi xmlns:a14="http://schemas.microsoft.com/office/drawing/2010/main" val="0"/>
                        </a:ext>
                      </a:extLst>
                    </a:blip>
                    <a:stretch>
                      <a:fillRect/>
                    </a:stretch>
                  </pic:blipFill>
                  <pic:spPr>
                    <a:xfrm>
                      <a:off x="0" y="0"/>
                      <a:ext cx="5826589" cy="1783080"/>
                    </a:xfrm>
                    <a:prstGeom prst="rect">
                      <a:avLst/>
                    </a:prstGeom>
                  </pic:spPr>
                </pic:pic>
              </a:graphicData>
            </a:graphic>
          </wp:inline>
        </w:drawing>
      </w:r>
    </w:p>
    <w:p w14:paraId="197B2F33" w14:textId="15F44ED9" w:rsidR="00E1261F" w:rsidRPr="0058197C" w:rsidRDefault="2DFBAA5C" w:rsidP="00E1261F">
      <w:pPr>
        <w:ind w:left="0"/>
      </w:pPr>
      <w:r>
        <w:rPr>
          <w:noProof/>
        </w:rPr>
        <w:drawing>
          <wp:inline distT="0" distB="0" distL="0" distR="0" wp14:anchorId="0B68069F" wp14:editId="42FE2BD9">
            <wp:extent cx="5943600" cy="1783080"/>
            <wp:effectExtent l="0" t="0" r="0" b="0"/>
            <wp:docPr id="1239475960" name="Picture 1239475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475960"/>
                    <pic:cNvPicPr/>
                  </pic:nvPicPr>
                  <pic:blipFill>
                    <a:blip r:embed="rId23">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drawing>
          <wp:inline distT="0" distB="0" distL="0" distR="0" wp14:anchorId="67E42144" wp14:editId="72BF4F81">
            <wp:extent cx="5943600" cy="1783080"/>
            <wp:effectExtent l="0" t="0" r="0" b="0"/>
            <wp:docPr id="1444063413" name="Picture 144406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4063413"/>
                    <pic:cNvPicPr/>
                  </pic:nvPicPr>
                  <pic:blipFill>
                    <a:blip r:embed="rId24">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drawing>
          <wp:inline distT="0" distB="0" distL="0" distR="0" wp14:anchorId="4B6C45E5" wp14:editId="75FB14D2">
            <wp:extent cx="5943600" cy="1783080"/>
            <wp:effectExtent l="0" t="0" r="0" b="0"/>
            <wp:docPr id="1982938815" name="Picture 1982938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938815"/>
                    <pic:cNvPicPr/>
                  </pic:nvPicPr>
                  <pic:blipFill>
                    <a:blip r:embed="rId25">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274C5C07" w14:textId="7C05CF58" w:rsidR="2FD54C7E" w:rsidRDefault="2FD54C7E" w:rsidP="2FD54C7E">
      <w:pPr>
        <w:ind w:left="0"/>
      </w:pPr>
    </w:p>
    <w:p w14:paraId="0F9E24A4" w14:textId="0FF76422" w:rsidR="00E1261F" w:rsidRPr="0058197C" w:rsidRDefault="2DFBAA5C" w:rsidP="00E1261F">
      <w:pPr>
        <w:ind w:left="0"/>
      </w:pPr>
      <w:r>
        <w:rPr>
          <w:noProof/>
        </w:rPr>
        <w:lastRenderedPageBreak/>
        <w:drawing>
          <wp:inline distT="0" distB="0" distL="0" distR="0" wp14:anchorId="7F2ED535" wp14:editId="4B69023B">
            <wp:extent cx="5943600" cy="1783080"/>
            <wp:effectExtent l="0" t="0" r="0" b="0"/>
            <wp:docPr id="1921569820" name="Picture 1921569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569820"/>
                    <pic:cNvPicPr/>
                  </pic:nvPicPr>
                  <pic:blipFill>
                    <a:blip r:embed="rId26">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drawing>
          <wp:inline distT="0" distB="0" distL="0" distR="0" wp14:anchorId="6A49481A" wp14:editId="15316496">
            <wp:extent cx="5943600" cy="1783080"/>
            <wp:effectExtent l="0" t="0" r="0" b="0"/>
            <wp:docPr id="1300490731" name="Picture 130049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490731"/>
                    <pic:cNvPicPr/>
                  </pic:nvPicPr>
                  <pic:blipFill>
                    <a:blip r:embed="rId27">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drawing>
          <wp:inline distT="0" distB="0" distL="0" distR="0" wp14:anchorId="0E233CD2" wp14:editId="0660C7BF">
            <wp:extent cx="5943600" cy="1783080"/>
            <wp:effectExtent l="0" t="0" r="0" b="0"/>
            <wp:docPr id="1692127400" name="Picture 1692127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127400"/>
                    <pic:cNvPicPr/>
                  </pic:nvPicPr>
                  <pic:blipFill>
                    <a:blip r:embed="rId28">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drawing>
          <wp:inline distT="0" distB="0" distL="0" distR="0" wp14:anchorId="5904269E" wp14:editId="2CC74AB3">
            <wp:extent cx="5943600" cy="1783080"/>
            <wp:effectExtent l="0" t="0" r="0" b="0"/>
            <wp:docPr id="684307464" name="Picture 68430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307464"/>
                    <pic:cNvPicPr/>
                  </pic:nvPicPr>
                  <pic:blipFill>
                    <a:blip r:embed="rId29">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lastRenderedPageBreak/>
        <w:drawing>
          <wp:inline distT="0" distB="0" distL="0" distR="0" wp14:anchorId="7BD7DB20" wp14:editId="23509D15">
            <wp:extent cx="5943600" cy="1783080"/>
            <wp:effectExtent l="0" t="0" r="0" b="0"/>
            <wp:docPr id="476431205" name="Picture 47643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31205"/>
                    <pic:cNvPicPr/>
                  </pic:nvPicPr>
                  <pic:blipFill>
                    <a:blip r:embed="rId30">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drawing>
          <wp:inline distT="0" distB="0" distL="0" distR="0" wp14:anchorId="1F019F39" wp14:editId="26CF075C">
            <wp:extent cx="5943600" cy="1783080"/>
            <wp:effectExtent l="0" t="0" r="0" b="0"/>
            <wp:docPr id="1043611592" name="Picture 104361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611592"/>
                    <pic:cNvPicPr/>
                  </pic:nvPicPr>
                  <pic:blipFill>
                    <a:blip r:embed="rId31">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drawing>
          <wp:inline distT="0" distB="0" distL="0" distR="0" wp14:anchorId="00D4DD07" wp14:editId="538387B1">
            <wp:extent cx="5943600" cy="1783080"/>
            <wp:effectExtent l="0" t="0" r="0" b="0"/>
            <wp:docPr id="499585584" name="Picture 499585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85584"/>
                    <pic:cNvPicPr/>
                  </pic:nvPicPr>
                  <pic:blipFill>
                    <a:blip r:embed="rId32">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lastRenderedPageBreak/>
        <w:drawing>
          <wp:inline distT="0" distB="0" distL="0" distR="0" wp14:anchorId="63F2E740" wp14:editId="58793743">
            <wp:extent cx="5943600" cy="1783080"/>
            <wp:effectExtent l="0" t="0" r="0" b="0"/>
            <wp:docPr id="1432174709" name="Picture 143217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174709"/>
                    <pic:cNvPicPr/>
                  </pic:nvPicPr>
                  <pic:blipFill>
                    <a:blip r:embed="rId33">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Pr>
          <w:noProof/>
        </w:rPr>
        <w:drawing>
          <wp:inline distT="0" distB="0" distL="0" distR="0" wp14:anchorId="18368032" wp14:editId="30AD1C88">
            <wp:extent cx="5943600" cy="1783080"/>
            <wp:effectExtent l="0" t="0" r="0" b="0"/>
            <wp:docPr id="850373304" name="Picture 85037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373304"/>
                    <pic:cNvPicPr/>
                  </pic:nvPicPr>
                  <pic:blipFill>
                    <a:blip r:embed="rId34">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bookmarkEnd w:id="3"/>
    </w:p>
    <w:p w14:paraId="2042E283" w14:textId="6966B7B4" w:rsidR="00E1261F" w:rsidRPr="0058197C" w:rsidRDefault="4250E9BE" w:rsidP="2FD54C7E">
      <w:pPr>
        <w:ind w:left="0"/>
      </w:pPr>
      <w:r>
        <w:rPr>
          <w:noProof/>
        </w:rPr>
        <w:drawing>
          <wp:inline distT="0" distB="0" distL="0" distR="0" wp14:anchorId="28B2BED7" wp14:editId="30C160E4">
            <wp:extent cx="5943600" cy="1783080"/>
            <wp:effectExtent l="0" t="0" r="0" b="0"/>
            <wp:docPr id="2015272551" name="Picture 2015272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272551"/>
                    <pic:cNvPicPr/>
                  </pic:nvPicPr>
                  <pic:blipFill>
                    <a:blip r:embed="rId35">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5113F57F" w14:textId="48E8D3FE" w:rsidR="00E1261F" w:rsidRPr="0058197C" w:rsidRDefault="4250E9BE" w:rsidP="00E1261F">
      <w:pPr>
        <w:ind w:left="0"/>
      </w:pPr>
      <w:r>
        <w:rPr>
          <w:noProof/>
        </w:rPr>
        <w:lastRenderedPageBreak/>
        <w:drawing>
          <wp:inline distT="0" distB="0" distL="0" distR="0" wp14:anchorId="263D8C98" wp14:editId="65C175D7">
            <wp:extent cx="5943600" cy="1783080"/>
            <wp:effectExtent l="0" t="0" r="0" b="0"/>
            <wp:docPr id="1544601617" name="Picture 15446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601617"/>
                    <pic:cNvPicPr/>
                  </pic:nvPicPr>
                  <pic:blipFill>
                    <a:blip r:embed="rId36">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r w:rsidR="51330F51">
        <w:rPr>
          <w:noProof/>
        </w:rPr>
        <w:drawing>
          <wp:inline distT="0" distB="0" distL="0" distR="0" wp14:anchorId="422C1521" wp14:editId="05D09126">
            <wp:extent cx="5943600" cy="1783080"/>
            <wp:effectExtent l="0" t="0" r="0" b="0"/>
            <wp:docPr id="794824911" name="Picture 794824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824911"/>
                    <pic:cNvPicPr/>
                  </pic:nvPicPr>
                  <pic:blipFill>
                    <a:blip r:embed="rId37">
                      <a:extLst>
                        <a:ext uri="{28A0092B-C50C-407E-A947-70E740481C1C}">
                          <a14:useLocalDpi xmlns:a14="http://schemas.microsoft.com/office/drawing/2010/main" val="0"/>
                        </a:ext>
                      </a:extLst>
                    </a:blip>
                    <a:stretch>
                      <a:fillRect/>
                    </a:stretch>
                  </pic:blipFill>
                  <pic:spPr>
                    <a:xfrm>
                      <a:off x="0" y="0"/>
                      <a:ext cx="5943600" cy="1783080"/>
                    </a:xfrm>
                    <a:prstGeom prst="rect">
                      <a:avLst/>
                    </a:prstGeom>
                  </pic:spPr>
                </pic:pic>
              </a:graphicData>
            </a:graphic>
          </wp:inline>
        </w:drawing>
      </w:r>
    </w:p>
    <w:p w14:paraId="44C6999A" w14:textId="6148C7A6" w:rsidR="00F30196" w:rsidRDefault="00F30196" w:rsidP="2FD54C7E">
      <w:pPr>
        <w:pStyle w:val="Caption"/>
        <w:spacing w:after="0"/>
        <w:ind w:left="0"/>
        <w:rPr>
          <w:color w:val="auto"/>
          <w:sz w:val="22"/>
          <w:szCs w:val="22"/>
        </w:rPr>
      </w:pPr>
      <w:r w:rsidRPr="455D1EBA">
        <w:rPr>
          <w:b/>
          <w:bCs/>
          <w:color w:val="auto"/>
          <w:sz w:val="22"/>
          <w:szCs w:val="22"/>
        </w:rPr>
        <w:t>Figure S</w:t>
      </w:r>
      <w:r w:rsidR="43704216" w:rsidRPr="455D1EBA">
        <w:rPr>
          <w:b/>
          <w:bCs/>
          <w:color w:val="auto"/>
          <w:sz w:val="22"/>
          <w:szCs w:val="22"/>
        </w:rPr>
        <w:t>15</w:t>
      </w:r>
      <w:r w:rsidRPr="455D1EBA">
        <w:rPr>
          <w:b/>
          <w:bCs/>
          <w:color w:val="auto"/>
          <w:sz w:val="22"/>
          <w:szCs w:val="22"/>
        </w:rPr>
        <w:t>.</w:t>
      </w:r>
      <w:r w:rsidRPr="455D1EBA">
        <w:rPr>
          <w:color w:val="auto"/>
          <w:sz w:val="22"/>
          <w:szCs w:val="22"/>
        </w:rPr>
        <w:t xml:space="preserve"> </w:t>
      </w:r>
      <w:r w:rsidRPr="455D1EBA">
        <w:rPr>
          <w:b/>
          <w:bCs/>
          <w:color w:val="auto"/>
          <w:sz w:val="22"/>
          <w:szCs w:val="22"/>
        </w:rPr>
        <w:t>Mean bias of morning Modeled NO</w:t>
      </w:r>
      <w:r w:rsidRPr="455D1EBA">
        <w:rPr>
          <w:b/>
          <w:bCs/>
          <w:color w:val="auto"/>
          <w:sz w:val="22"/>
          <w:szCs w:val="22"/>
          <w:vertAlign w:val="subscript"/>
        </w:rPr>
        <w:t>X</w:t>
      </w:r>
      <w:r w:rsidRPr="455D1EBA">
        <w:rPr>
          <w:b/>
          <w:bCs/>
          <w:color w:val="auto"/>
          <w:sz w:val="22"/>
          <w:szCs w:val="22"/>
        </w:rPr>
        <w:t xml:space="preserve"> and Observed NO</w:t>
      </w:r>
      <w:r w:rsidRPr="455D1EBA">
        <w:rPr>
          <w:b/>
          <w:bCs/>
          <w:color w:val="auto"/>
          <w:sz w:val="22"/>
          <w:szCs w:val="22"/>
          <w:vertAlign w:val="subscript"/>
        </w:rPr>
        <w:t>X</w:t>
      </w:r>
      <w:r w:rsidRPr="455D1EBA">
        <w:rPr>
          <w:b/>
          <w:bCs/>
          <w:color w:val="auto"/>
          <w:sz w:val="22"/>
          <w:szCs w:val="22"/>
        </w:rPr>
        <w:t xml:space="preserve"> at surface monitors for 2002–2016</w:t>
      </w:r>
      <w:r w:rsidRPr="455D1EBA">
        <w:rPr>
          <w:color w:val="auto"/>
          <w:sz w:val="22"/>
          <w:szCs w:val="22"/>
        </w:rPr>
        <w:t>. Morning hours are 4-9 a.m. LST.</w:t>
      </w:r>
      <w:r w:rsidRPr="455D1EBA">
        <w:rPr>
          <w:color w:val="auto"/>
        </w:rPr>
        <w:t xml:space="preserve"> </w:t>
      </w:r>
      <w:r w:rsidRPr="455D1EBA">
        <w:rPr>
          <w:color w:val="auto"/>
          <w:sz w:val="22"/>
          <w:szCs w:val="22"/>
        </w:rPr>
        <w:t xml:space="preserve"> Data has been aggregated for winter (left column) and summer (right column) months. Warm colors indicate model over-prediction and cool colors under-prediction.</w:t>
      </w:r>
    </w:p>
    <w:p w14:paraId="61D5F5B0" w14:textId="77777777" w:rsidR="00E1261F" w:rsidRDefault="00E1261F" w:rsidP="00E1261F">
      <w:pPr>
        <w:ind w:left="0"/>
        <w:rPr>
          <w:rFonts w:cstheme="minorHAnsi"/>
          <w:iCs/>
        </w:rPr>
      </w:pPr>
    </w:p>
    <w:p w14:paraId="2D5DAFCA" w14:textId="77777777" w:rsidR="00AF6261" w:rsidRDefault="00AF6261">
      <w:pPr>
        <w:spacing w:line="259" w:lineRule="auto"/>
        <w:ind w:left="0"/>
        <w:rPr>
          <w:rFonts w:cstheme="minorHAnsi"/>
          <w:iCs/>
        </w:rPr>
      </w:pPr>
      <w:r>
        <w:rPr>
          <w:rFonts w:cstheme="minorHAnsi"/>
          <w:iCs/>
        </w:rPr>
        <w:br w:type="page"/>
      </w:r>
    </w:p>
    <w:p w14:paraId="49B81852" w14:textId="66A32383" w:rsidR="00AF6261" w:rsidRDefault="00AF6261" w:rsidP="00AF6261">
      <w:pPr>
        <w:pStyle w:val="Heading2"/>
      </w:pPr>
      <w:r>
        <w:lastRenderedPageBreak/>
        <w:t>Emissions Sensitivities</w:t>
      </w:r>
    </w:p>
    <w:p w14:paraId="1724EF3A" w14:textId="42B3A6E1" w:rsidR="00AF6261" w:rsidRDefault="00AF6261" w:rsidP="00AF6261">
      <w:pPr>
        <w:spacing w:after="0" w:line="240" w:lineRule="auto"/>
        <w:rPr>
          <w:rFonts w:cstheme="minorHAnsi"/>
        </w:rPr>
      </w:pPr>
      <w:r>
        <w:rPr>
          <w:rFonts w:cstheme="minorHAnsi"/>
        </w:rPr>
        <w:t>We apply three model sensitivity simulations to test the impact of various emissions updates.</w:t>
      </w:r>
      <w:r w:rsidRPr="00B00756">
        <w:rPr>
          <w:rFonts w:cstheme="minorHAnsi"/>
        </w:rPr>
        <w:t xml:space="preserve"> </w:t>
      </w:r>
      <w:r>
        <w:rPr>
          <w:rFonts w:cstheme="minorHAnsi"/>
        </w:rPr>
        <w:t xml:space="preserve">Model output from these simulations were compared against the 2011 simulation described in Table 1 in the main article.  Evaluation of these sensitivities focused on the Northeastern US during July 2011 to include locations monitored during the DISCOVER-AQ Baltimore field campaign which has served as a valuable and widely used dataset for model NOx evaluation studies </w:t>
      </w:r>
      <w:r>
        <w:rPr>
          <w:rFonts w:cstheme="minorHAnsi"/>
          <w:color w:val="2B579A"/>
          <w:shd w:val="clear" w:color="auto" w:fill="E6E6E6"/>
        </w:rPr>
        <w:fldChar w:fldCharType="begin" w:fldLock="1"/>
      </w:r>
      <w:r>
        <w:rPr>
          <w:rFonts w:cstheme="minorHAnsi"/>
        </w:rPr>
        <w:instrText>ADDIN CSL_CITATION {"citationItems":[{"id":"ITEM-1","itemData":{"DOI":"10.1016/j.atmosenv.2014.07.004","ISBN":"1352-2310","ISSN":"18732844","abstract":"Data collected during the 2011 DISCOVER-AQ field campaign in the Baltimore Washington region were used to evaluate CO and NOx emissions in the National Emissions Inventory (NEI). The average emissions ratio for the region was seen to be 11.2±1.2molCO/molNOx, 21% higher than that predicted by the NEI. Comparisons between in situ and remote observations and CMAQ model output show agreement in CO emissions of 15±11% while NOx emissions are overestimated by 51-70% in Maryland. Satellite observations of CO by MOPITT show agreement with the Community Multiscale Air Quality (CMAQ) model within 3% over most of the eastern United States. CMAQ NOy mixing ratios were a factor of two higher than observations and result from a combination of errors in emissions and PAN and alkyl nitrate chemistry, as shown by comparison of three CMAQ model runs. Point source NOx emissions are monitored and agree with modeled emissions within 1% on a monthly basis. Because of this accuracy and the NEI assertion that approximately 3/4 of emissions in the Baltimore Washington region are from mobile sources, the MOVES model's treatment of emissions from aging vehicles should be investigated; the NEI overestimate of NOx emissions could indicate that engines produce less NOx and catalytic converters degrade more slowly than assumed by MOVES2010. The recently released 2011 NEI has an even lower CO/NOx emissions ratio than the projection used in this study; it overestimates NOx emissions by an even larger margin. The implications of these findings for US air quality policy are that NOx concentrations near areas of heavy traffic are overestimated and ozone production rates in these locations are slower than models indicate. Results also indicate that ambient ozone concentrations will respond more efficiently to NOx emissions controls but additional sources may need to be targeted for reductions. © 2014 Elsevier Ltd.","author":[{"dropping-particle":"","family":"Anderson","given":"Daniel C.","non-dropping-particle":"","parse-names":false,"suffix":""},{"dropping-particle":"","family":"Loughner","given":"Christopher P.","non-dropping-particle":"","parse-names":false,"suffix":""},{"dropping-particle":"","family":"Diskin","given":"Glenn","non-dropping-particle":"","parse-names":false,"suffix":""},{"dropping-particle":"","family":"Weinheimer","given":"Andrew","non-dropping-particle":"","parse-names":false,"suffix":""},{"dropping-particle":"","family":"Canty","given":"Timothy P.","non-dropping-particle":"","parse-names":false,"suffix":""},{"dropping-particle":"","family":"Salawitch","given":"Ross J.","non-dropping-particle":"","parse-names":false,"suffix":""},{"dropping-particle":"","family":"Worden","given":"Helen M.","non-dropping-particle":"","parse-names":false,"suffix":""},{"dropping-particle":"","family":"Fried","given":"Alan","non-dropping-particle":"","parse-names":false,"suffix":""},{"dropping-particle":"","family":"Mikoviny","given":"Tomas","non-dropping-particle":"","parse-names":false,"suffix":""},{"dropping-particle":"","family":"Wisthaler","given":"Armin","non-dropping-particle":"","parse-names":false,"suffix":""},{"dropping-particle":"","family":"Dickerson","given":"Russell R.","non-dropping-particle":"","parse-names":false,"suffix":""}],"container-title":"Atmospheric Environment","id":"ITEM-1","issued":{"date-parts":[["2014"]]},"page":"78-87","publisher":"Elsevier Ltd","title":"Measured and modeled CO and NOy in DISCOVER-AQ: An evaluation of emissions and chemistry over the eastern US","type":"article-journal","volume":"96"},"uris":["http://www.mendeley.com/documents/?uuid=c266fbfa-525d-4ed4-8cad-b99e339f6df9"]},{"id":"ITEM-2","itemData":{"DOI":"10.1007/s10874-013-9254-9","ISSN":"1573-0662","abstract":"An analysis is presented for both ground- and satellite-based retrievals of total column ozone and nitrogen dioxide levels from the Washington, D.C., and Baltimore, Maryland, metropolitan area during the NASA-sponsored July 2011 campaign of Deriving Information on Surface COnditions from Column and VERtically Resolved Observations Relevant to Air Quality (DISCOVER-AQ). Satellite retrievals of total column ozone and nitrogen dioxide from the Ozone Monitoring Instrument (OMI) on the Aura satellite are used, while Pandora spectrometers provide total column ozone and nitrogen dioxide amounts from the ground. We found that OMI and Pandora agree well (residuals within ±25 % for nitrogen dioxide, and ±4.5 % for ozone) for a majority of coincident observations during July 2011. Comparisons with surface nitrogen dioxide from a Teledyne API 200 EU NOx Analyzer showed nitrogen dioxide diurnal variability that was consistent with measurements by Pandora. However, the wide OMI field of view, clouds, and aerosols affected retrievals on certain days, resulting in differences between Pandora and OMI of up to ±65 % for total column nitrogen dioxide, and ±23 % for total column ozone. As expected, significant cloud cover (cloud fraction &gt;0.2) was the most important parameter affecting comparisons of ozone retrievals; however, small, passing cumulus clouds that do not coincide with a high (&gt;0.2) cloud fraction, or low aerosol layers which cause significant backscatter near the ground affected the comparisons of total column nitrogen dioxide retrievals. Our results will impact post-processing satellite retrieval algorithms and quality control procedures.","author":[{"dropping-particle":"","family":"Reed","given":"Andra J","non-dropping-particle":"","parse-names":false,"suffix":""},{"dropping-particle":"","family":"Thompson","given":"Anne M","non-dropping-particle":"","parse-names":false,"suffix":""},{"dropping-particle":"","family":"Kollonige","given":"Debra E","non-dropping-particle":"","parse-names":false,"suffix":""},{"dropping-particle":"","family":"Martins","given":"Douglas K","non-dropping-particle":"","parse-names":false,"suffix":""},{"dropping-particle":"","family":"Tzortziou","given":"Maria A","non-dropping-particle":"","parse-names":false,"suffix":""},{"dropping-particle":"","family":"Herman","given":"Jay R","non-dropping-particle":"","parse-names":false,"suffix":""},{"dropping-particle":"","family":"Berkoff","given":"Timothy A","non-dropping-particle":"","parse-names":false,"suffix":""},{"dropping-particle":"","family":"Abuhassan","given":"Nader K","non-dropping-particle":"","parse-names":false,"suffix":""},{"dropping-particle":"","family":"Cede","given":"Alexander","non-dropping-particle":"","parse-names":false,"suffix":""}],"container-title":"Journal of Atmospheric Chemistry","id":"ITEM-2","issue":"3","issued":{"date-parts":[["2015"]]},"page":"455-482","title":"Effects of local meteorology and aerosols on ozone and nitrogen dioxide retrievals from OMI and pandora spectrometers in Maryland, USA during DISCOVER-AQ 2011","type":"article-journal","volume":"72"},"uris":["http://www.mendeley.com/documents/?uuid=536c1de8-02bc-4666-a464-ed5f77003d5f"]},{"id":"ITEM-3","itemData":{"DOI":"10.1002/2015JD024203","ISSN":"2169-897X","abstract":"Abstract An often used assumption in air pollution studies is a well-mixed boundary layer (BL), where pollutants are evenly distributed. Because of the difficulty in obtaining vertically resolved measurements, the validity of the assumption has not been thoroughly evaluated. In this study, we use more than 200 vertical profiles observed in the Deriving Information on Surface Conditions from Column and Vertically Resolved Observations Relevant to Air Quality (DISCOVER-AQ) aircraft campaign in July 2011 to examine the vertical distributions of pollutants over the Washington-Baltimore area. While many long-lived species are well mixed in daytime, the observed average vertical profile of NOx shows a large negative gradient with increasing altitude in the BL. Our analysis suggests that the magnitude of the NOx gradient is highly sensitive to atmospheric stability. We investigate how parameterizations of the BL and land-surface processes impact vertical profiles in a 1-D chemical transport model, using three BL schemes (Asymmetric Convective Model version 2 (ACM2), Yonsei University (YSU), and Mellor-Yamada-Janjic (MYJ)) and two land-surface schemes (Noah and Rapid Update Cycle (RUC)). The model reasonably reproduces the median vertical profiles of NOx under different BL stability conditions within 30% of observations, classified based on potential temperature gradient and BL height. Comparisons with NOx observations for individual vertical profiles reveal that while YSU performs better in the turbulent and deep BL case, in general, ACM2 (RMSE?=?2.0?ppbv) outperforms YSU (RMSE?=?2.5?ppbv) and MYJ (RMSE?=?2.2?ppbv). Results also indicate that the land-surface schemes in the Weather Research and Forecasting (WRF) model have a small impact on the NOx gradient. Using model simulations, we analyze the impact of BL NOx gradient on the calculation of the ozone production rate and satellite NO2 retrieval. We show that using surface measurements and the well-mixed BL assumption causes a ~45% high bias in the estimated BL ozone production rate and that the variability of NO2 vertical profiles is responsible for 5?10% variability in the retrieved NO2 tropospheric vertical columns.","author":[{"dropping-particle":"","family":"Zhang","given":"Yuzhong","non-dropping-particle":"","parse-names":false,"suffix":""},{"dropping-particle":"","family":"Wang","given":"Yuhang","non-dropping-particle":"","parse-names":false,"suffix":""},{"dropping-particle":"","family":"Chen","given":"Gao","non-dropping-particle":"","parse-names":false,"suffix":""},{"dropping-particle":"","family":"Smeltzer","given":"Charles","non-dropping-particle":"","parse-names":false,"suffix":""},{"dropping-particle":"","family":"Crawford","given":"James","non-dropping-particle":"","parse-names":false,"suffix":""},{"dropping-particle":"","family":"Olson","given":"Jennifer","non-dropping-particle":"","parse-names":false,"suffix":""},{"dropping-particle":"","family":"Szykman","given":"James","non-dropping-particle":"","parse-names":false,"suffix":""},{"dropping-particle":"","family":"Weinheimer","given":"Andrew J","non-dropping-particle":"","parse-names":false,"suffix":""},{"dropping-particle":"","family":"Knapp","given":"David J","non-dropping-particle":"","parse-names":false,"suffix":""},{"dropping-particle":"","family":"Montzka","given":"Denise D","non-dropping-particle":"","parse-names":false,"suffix":""},{"dropping-particle":"","family":"Wisthaler","given":"Armin","non-dropping-particle":"","parse-names":false,"suffix":""},{"dropping-particle":"","family":"Mikoviny","given":"Tomas","non-dropping-particle":"","parse-names":false,"suffix":""},{"dropping-particle":"","family":"Fried","given":"Alan","non-dropping-particle":"","parse-names":false,"suffix":""},{"dropping-particle":"","family":"Diskin","given":"Glenn","non-dropping-particle":"","parse-names":false,"suffix":""}],"container-title":"Journal of Geophysical Research: Atmospheres","id":"ITEM-3","issue":"4","issued":{"date-parts":[["2016","2","27"]]},"note":"doi: 10.1002/2015JD024203","page":"1922-1934","publisher":"John Wiley &amp; Sons, Ltd","title":"Large vertical gradient of reactive nitrogen oxides in the boundary layer: Modeling analysis of DISCOVER-AQ 2011 observations","type":"article-journal","volume":"121"},"uris":["http://www.mendeley.com/documents/?uuid=58167b32-c96b-4308-9a11-8d1ef150c5c1"]},{"id":"ITEM-4","itemData":{"DOI":"https://doi.org/10.1016/j.envres.2017.10.017","ISSN":"0013-9351","abstract":"In recent years, multipollutant approaches have been employed to investigate the association with health outcomes to better represent real-world conditions than more traditional analysis that considers a single pollutant. With regard to the exposure assessment of a mixture of air pollutants, it is critical to understand the spatial variability in multipollutant relations in order to assess their potential health implications. In this study, we investigated the spatial relations of multiple pollutant concentrations (i.e., NOx, NOy, black carbon, carbon monoxide, acetaldehyde, formaldehyde, toluene, xylenes/ethylbenzene, ozone, water-soluble organic carbon, and aerosol extinction) observed from the P-3B aircraft in the 2011 NASA field campaign in Baltimore/Washington D.C. areas during July 2011. The between-pollutant Pearson correlations and Z-scores (calculated from log-transformed concentrations) between near-highways and non-highways and between near-urban centers and non-urban centers varied by pollutant pair and space. We found generally lower correlations between NOx and other pollutants for near-highways (average r = 0.36) than for non-highways (average r = 0.41) and also for non-urban centers (average r = 0.37) than for near-urban centers (average r = 0.41). This indicated that the temporal associations between NOx and health outcomes might be less affected by other pollutants, which were also related to same health outcomes, for near-highways and non-urban centers. The analysis of between-pollutant Z-scores showed varying spatial relations for popular traffic-related pollutants with the Z-score differences of 0.43 (NOx-carbon monoxide), 0.29 (NOx-black carbon), and 0.17 (black carbon-carbon monoxide) between near-highways and non-highways. This result exhibited heterogeneous traffic-related pollutant mixtures with the proximity to highways, potentially leading to the diverse extent of health associations. Furthermore, a mixed effects model presented pollutant-specific associations between the concentrations and the proximity to highways and urban centers, showing larger declines for NOx, xylenes/ethylbenzene, toluene, and NOy than those for the pollutants related to secondary pollutant formation. The model also demonstrated the different sensitivity of each pollutant to meteorological parameters, which may modify the spatial and temporal variability in the relations between the pollutants. Our findings provide insights for exposure assessment stu…","author":[{"dropping-particle":"","family":"Lee","given":"Hyung Joo","non-dropping-particle":"","parse-names":false,"suffix":""},{"dropping-particle":"","family":"Chatfield","given":"Robert B","non-dropping-particle":"","parse-names":false,"suffix":""},{"dropping-particle":"","family":"Bell","given":"Michelle L","non-dropping-particle":"","parse-names":false,"suffix":""}],"container-title":"Environmental Research","id":"ITEM-4","issued":{"date-parts":[["2018"]]},"page":"487-498","title":"Spatial analysis of concentrations of multiple air pollutants using NASA DISCOVER-AQ aircraft measurements: Implications for exposure assessment","type":"article-journal","volume":"160"},"uris":["http://www.mendeley.com/documents/?uuid=23da6035-b53a-4718-81de-c7ac0d479719"]},{"id":"ITEM-5","itemData":{"DOI":"10.1002/2017JD027688","author":[{"dropping-particle":"","family":"Simon","given":"Heather","non-dropping-particle":"","parse-names":false,"suffix":""},{"dropping-particle":"","family":"Valin","given":"Luke C","non-dropping-particle":"","parse-names":false,"suffix":""},{"dropping-particle":"","family":"Baker","given":"Kirk R","non-dropping-particle":"","parse-names":false,"suffix":""},{"dropping-particle":"","family":"Henderson","given":"Barron H","non-dropping-particle":"","parse-names":false,"suffix":""},{"dropping-particle":"","family":"Crawford","given":"James H","non-dropping-particle":"","parse-names":false,"suffix":""},{"dropping-particle":"","family":"Pusede","given":"Sally E","non-dropping-particle":"","parse-names":false,"suffix":""},{"dropping-particle":"","family":"Kelly","given":"James T","non-dropping-particle":"","parse-names":false,"suffix":""},{"dropping-particle":"","family":"Foley","given":"Kristen M","non-dropping-particle":"","parse-names":false,"suffix":""},{"dropping-particle":"","family":"Owen","given":"R Chris","non-dropping-particle":"","parse-names":false,"suffix":""},{"dropping-particle":"","family":"Cohen","given":"Ronald C","non-dropping-particle":"","parse-names":false,"suffix":""},{"dropping-particle":"","family":"Timin","given":"Brian","non-dropping-particle":"","parse-names":false,"suffix":""},{"dropping-particle":"","family":"Weinheimer","given":"Andrew J","non-dropping-particle":"","parse-names":false,"suffix":""},{"dropping-particle":"","family":"Possiel","given":"Norm","non-dropping-particle":"","parse-names":false,"suffix":""},{"dropping-particle":"","family":"Misenis","given":"Chris","non-dropping-particle":"","parse-names":false,"suffix":""},{"dropping-particle":"","family":"Diskin","given":"Glenn S","non-dropping-particle":"","parse-names":false,"suffix":""}],"container-title":"Journal of Geophysical Research : Atmospheres","id":"ITEM-5","issued":{"date-parts":[["2018"]]},"page":"3304-3320","title":"Characterizing CO and NOy Sources and Relative Ambient Ratios in the Baltimore Area Using Ambient Measurements and Source Attribution Modeling","type":"article-journal","volume":"123"},"uris":["http://www.mendeley.com/documents/?uuid=dc639b85-f716-482b-b4b5-ddfdf742feed"]},{"id":"ITEM-6","itemData":{"DOI":"10.5194/gmd-12-4409-2019","ISSN":"1991-9603","author":[{"dropping-particle":"","family":"Kang","given":"D","non-dropping-particle":"","parse-names":false,"suffix":""},{"dropping-particle":"","family":"Foley","given":"K M","non-dropping-particle":"","parse-names":false,"suffix":""},{"dropping-particle":"","family":"Mathur","given":"R","non-dropping-particle":"","parse-names":false,"suffix":""},{"dropping-particle":"","family":"Roselle","given":"S J","non-dropping-particle":"","parse-names":false,"suffix":""},{"dropping-particle":"","family":"Pickering","given":"K E","non-dropping-particle":"","parse-names":false,"suffix":""},{"dropping-particle":"","family":"Allen","given":"D J","non-dropping-particle":"","parse-names":false,"suffix":""}],"container-title":"Geosci. Model Dev.","id":"ITEM-6","issue":"10","issued":{"date-parts":[["2019","10","21"]]},"page":"4409-4424","publisher":"Copernicus Publications","title":"Simulating lightning NO production in CMAQv5.2:  performance evaluations","type":"article-journal","volume":"12"},"uris":["http://www.mendeley.com/documents/?uuid=2f07fdcc-0831-41ea-a969-73a17b35c77e"]}],"mendeley":{"formattedCitation":"(Anderson et al., 2014; Reed et al., 2015; Zhang et al., 2016; Lee et al., 2018; Simon et al., 2018; Kang et al., 2019)","plainTextFormattedCitation":"(Anderson et al., 2014; Reed et al., 2015; Zhang et al., 2016; Lee et al., 2018; Simon et al., 2018; Kang et al., 2019)","previouslyFormattedCitation":"(Anderson et al., 2014; Reed et al., 2015; Zhang et al., 2016; Lee et al., 2018; Simon et al., 2018; Kang et al., 2019)"},"properties":{"noteIndex":0},"schema":"https://github.com/citation-style-language/schema/raw/master/csl-citation.json"}</w:instrText>
      </w:r>
      <w:r>
        <w:rPr>
          <w:rFonts w:cstheme="minorHAnsi"/>
          <w:color w:val="2B579A"/>
          <w:shd w:val="clear" w:color="auto" w:fill="E6E6E6"/>
        </w:rPr>
        <w:fldChar w:fldCharType="separate"/>
      </w:r>
      <w:r w:rsidRPr="007053D1">
        <w:rPr>
          <w:rFonts w:cstheme="minorHAnsi"/>
          <w:noProof/>
        </w:rPr>
        <w:t>(Anderson et al., 2014; Reed et al., 2015; Zhang et al., 2016; Lee et al., 2018; Simon et al., 2018; Kang et al., 2019)</w:t>
      </w:r>
      <w:r>
        <w:rPr>
          <w:rFonts w:cstheme="minorHAnsi"/>
          <w:color w:val="2B579A"/>
          <w:shd w:val="clear" w:color="auto" w:fill="E6E6E6"/>
        </w:rPr>
        <w:fldChar w:fldCharType="end"/>
      </w:r>
      <w:r>
        <w:rPr>
          <w:rFonts w:cstheme="minorHAnsi"/>
        </w:rPr>
        <w:t>.</w:t>
      </w:r>
    </w:p>
    <w:p w14:paraId="7EFA32F9" w14:textId="77777777" w:rsidR="00AF6261" w:rsidRPr="009102FD" w:rsidRDefault="00AF6261" w:rsidP="00AF6261">
      <w:pPr>
        <w:spacing w:after="0" w:line="240" w:lineRule="auto"/>
        <w:rPr>
          <w:rFonts w:cstheme="minorHAnsi"/>
        </w:rPr>
      </w:pPr>
    </w:p>
    <w:p w14:paraId="5F826F6B" w14:textId="495E7744" w:rsidR="00AF6261" w:rsidRPr="009102FD" w:rsidRDefault="00AF6261" w:rsidP="00AF6261">
      <w:pPr>
        <w:spacing w:after="0" w:line="240" w:lineRule="auto"/>
      </w:pPr>
      <w:r w:rsidRPr="488416DB">
        <w:t xml:space="preserve">Emissions sensitivities were conducted for July 2011 that include updated equipment population information and temporal profiles for the </w:t>
      </w:r>
      <w:proofErr w:type="spellStart"/>
      <w:r w:rsidRPr="488416DB">
        <w:t>nonroad</w:t>
      </w:r>
      <w:proofErr w:type="spellEnd"/>
      <w:r w:rsidRPr="488416DB">
        <w:t xml:space="preserve"> emissions sector based on the updates released in the </w:t>
      </w:r>
      <w:proofErr w:type="spellStart"/>
      <w:r w:rsidRPr="488416DB">
        <w:t>Nonroad</w:t>
      </w:r>
      <w:proofErr w:type="spellEnd"/>
      <w:r w:rsidRPr="488416DB">
        <w:t xml:space="preserve"> component of MOVES2014b (Figure </w:t>
      </w:r>
      <w:r w:rsidR="001500B0">
        <w:t>S</w:t>
      </w:r>
      <w:r w:rsidR="00472EA9">
        <w:t>16</w:t>
      </w:r>
      <w:r w:rsidRPr="488416DB">
        <w:t xml:space="preserve">), more realistic temporal profiles of heavy-duty </w:t>
      </w:r>
      <w:proofErr w:type="spellStart"/>
      <w:r w:rsidRPr="488416DB">
        <w:t>onroad</w:t>
      </w:r>
      <w:proofErr w:type="spellEnd"/>
      <w:r w:rsidRPr="488416DB">
        <w:t xml:space="preserve"> emissions for some urban areas in the eastern U.S. (Figure </w:t>
      </w:r>
      <w:r w:rsidR="00472EA9">
        <w:t>S17</w:t>
      </w:r>
      <w:r w:rsidRPr="488416DB">
        <w:t xml:space="preserve">) based on data from the Vehicle Travel Information Systems (VTRIS) </w:t>
      </w:r>
      <w:r w:rsidRPr="488416DB">
        <w:rPr>
          <w:color w:val="2B579A"/>
        </w:rPr>
        <w:fldChar w:fldCharType="begin" w:fldLock="1"/>
      </w:r>
      <w:r w:rsidR="00227EE5">
        <w:instrText>ADDIN CSL_CITATION {"citationItems":[{"id":"ITEM-1","itemData":{"URL":"https://fhwaapps.fhwa.dot.gov/vtris-wp/","author":[{"dropping-particle":"","family":"Federal Highway Administration","given":"","non-dropping-particle":"","parse-names":false,"suffix":""}],"id":"ITEM-1","issued":{"date-parts":[["2011"]]},"title":"Vehicle Travel Information System (VTRIS)","type":"webpage"},"uris":["http://www.mendeley.com/documents/?uuid=edea8424-83ce-4beb-9f62-b1995a7334be"]}],"mendeley":{"formattedCitation":"(Federal Highway Administration, 2011)","plainTextFormattedCitation":"(Federal Highway Administration, 2011)","previouslyFormattedCitation":"(Federal Highway Administration, 2011)"},"properties":{"noteIndex":0},"schema":"https://github.com/citation-style-language/schema/raw/master/csl-citation.json"}</w:instrText>
      </w:r>
      <w:r w:rsidRPr="488416DB">
        <w:rPr>
          <w:color w:val="2B579A"/>
        </w:rPr>
        <w:fldChar w:fldCharType="separate"/>
      </w:r>
      <w:r w:rsidRPr="488416DB">
        <w:rPr>
          <w:noProof/>
        </w:rPr>
        <w:t>(Federal Highway Administration, 2011)</w:t>
      </w:r>
      <w:r w:rsidRPr="488416DB">
        <w:rPr>
          <w:color w:val="2B579A"/>
        </w:rPr>
        <w:fldChar w:fldCharType="end"/>
      </w:r>
      <w:r w:rsidRPr="488416DB">
        <w:t xml:space="preserve">, and better temporal allocation of EGUs (Figure </w:t>
      </w:r>
      <w:r w:rsidR="00472EA9">
        <w:t>S18</w:t>
      </w:r>
      <w:r w:rsidRPr="488416DB">
        <w:t>).   Sensitivities used perturbations of sectors with large NO</w:t>
      </w:r>
      <w:r w:rsidRPr="488416DB">
        <w:rPr>
          <w:vertAlign w:val="subscript"/>
        </w:rPr>
        <w:t>X</w:t>
      </w:r>
      <w:r w:rsidRPr="488416DB">
        <w:t xml:space="preserve"> contribution to emissions in the northeast U.S. (Figure 2) to gauge the importance of properly characterizing the timing of these emissions. Each of these sensitivities resulted in reduced monthly average NO</w:t>
      </w:r>
      <w:r w:rsidRPr="488416DB">
        <w:rPr>
          <w:vertAlign w:val="subscript"/>
        </w:rPr>
        <w:t>X</w:t>
      </w:r>
      <w:r w:rsidRPr="488416DB">
        <w:t xml:space="preserve"> throughout the northeastern U.S. Downward adjustments to estimates of </w:t>
      </w:r>
      <w:proofErr w:type="spellStart"/>
      <w:r w:rsidRPr="488416DB">
        <w:t>nonroad</w:t>
      </w:r>
      <w:proofErr w:type="spellEnd"/>
      <w:r w:rsidRPr="488416DB">
        <w:t xml:space="preserve"> equipment population resulted in ~7% reduction in </w:t>
      </w:r>
      <w:proofErr w:type="spellStart"/>
      <w:r w:rsidRPr="488416DB">
        <w:t>nonroad</w:t>
      </w:r>
      <w:proofErr w:type="spellEnd"/>
      <w:r w:rsidRPr="488416DB">
        <w:t xml:space="preserve"> NO</w:t>
      </w:r>
      <w:r w:rsidRPr="488416DB">
        <w:rPr>
          <w:vertAlign w:val="subscript"/>
        </w:rPr>
        <w:t>X</w:t>
      </w:r>
      <w:r w:rsidRPr="488416DB">
        <w:t xml:space="preserve"> emissions nationally. The </w:t>
      </w:r>
      <w:proofErr w:type="spellStart"/>
      <w:r w:rsidRPr="488416DB">
        <w:t>nonroad</w:t>
      </w:r>
      <w:proofErr w:type="spellEnd"/>
      <w:r w:rsidRPr="488416DB">
        <w:t xml:space="preserve"> emissions changes along with updates to the temporal profiles of construction and lawn and garden equipment that shifted activity away from nighttime hours and toward daytime hours together resulted in some moderate reductions (up to 3.2 ppb) in monthly mean NO</w:t>
      </w:r>
      <w:r w:rsidRPr="488416DB">
        <w:rPr>
          <w:vertAlign w:val="subscript"/>
        </w:rPr>
        <w:t>X</w:t>
      </w:r>
      <w:r w:rsidRPr="488416DB">
        <w:t xml:space="preserve"> across many of the urbanized areas in the Northeast (Figure </w:t>
      </w:r>
      <w:r w:rsidR="00472EA9">
        <w:t>S19a</w:t>
      </w:r>
      <w:r w:rsidRPr="488416DB">
        <w:t xml:space="preserve">). The timing of actual mobile activity may be slightly shifted in each of these areas since the modeling system typically uses a default temporal profile to allocate emissions to hour of the day. However, these urban areas often experience increased mobile activity during morning and evening commuting periods, so temporal </w:t>
      </w:r>
      <w:proofErr w:type="spellStart"/>
      <w:r w:rsidRPr="488416DB">
        <w:t>mis</w:t>
      </w:r>
      <w:proofErr w:type="spellEnd"/>
      <w:r w:rsidRPr="488416DB">
        <w:t>-assignment may contribute to</w:t>
      </w:r>
      <w:r>
        <w:t>,</w:t>
      </w:r>
      <w:r w:rsidRPr="488416DB">
        <w:t xml:space="preserve"> but not fully explain this performance feature. A model sensitivity where heavy-duty </w:t>
      </w:r>
      <w:proofErr w:type="spellStart"/>
      <w:r w:rsidRPr="488416DB">
        <w:t>onroad</w:t>
      </w:r>
      <w:proofErr w:type="spellEnd"/>
      <w:r w:rsidRPr="488416DB">
        <w:t xml:space="preserve"> temporal profiles for some parts of the northeast corridor were updated with activity patterns that reflect differences in diesel vehicle behavior reduced model predicted NO</w:t>
      </w:r>
      <w:r w:rsidRPr="488416DB">
        <w:rPr>
          <w:vertAlign w:val="subscript"/>
        </w:rPr>
        <w:t>X</w:t>
      </w:r>
      <w:r w:rsidRPr="488416DB">
        <w:t xml:space="preserve"> by up to 0.5 ppb in some urban areas (Figure </w:t>
      </w:r>
      <w:r w:rsidR="001500B0">
        <w:t>S1</w:t>
      </w:r>
      <w:r w:rsidR="00472EA9">
        <w:t>9</w:t>
      </w:r>
      <w:r w:rsidR="001500B0" w:rsidRPr="488416DB">
        <w:t>b</w:t>
      </w:r>
      <w:r w:rsidRPr="488416DB">
        <w:t>) but did not substantively change model performance. Finally, there are several point sources that generate electricity that do not have Continuous Emissions Monitoring System (CEMS) data. In the base 2011 simulation, the hourly emissions for these sources were temporalized using regional average profiles from CEMS sources (by fuel type). The average regional profiles for fuel other than oil, gas, or coal had a large percentage of emissions concentrated on a few days and hours (i.e., they may have been used to generate electricity only during time periods when demand peaked). However, these profiles are inappropriate for sources such as municipal waste combustors and co-generation units, which do not operate in a “peaking” mode, so a sensitivity was performed for which the temporal profile for these sources was changed to a flat profile (same emissions for every day and hour). Modeled concentration changes due to the (non-CEMS) EGU sensitivity run were relatively small on most days (up to 1.2 ppb</w:t>
      </w:r>
      <w:r w:rsidR="001500B0">
        <w:t>, Figure S1</w:t>
      </w:r>
      <w:r w:rsidR="00472EA9">
        <w:t>9</w:t>
      </w:r>
      <w:r w:rsidR="001500B0">
        <w:t>c</w:t>
      </w:r>
      <w:r w:rsidRPr="488416DB">
        <w:t>), but NO</w:t>
      </w:r>
      <w:r w:rsidRPr="488416DB">
        <w:rPr>
          <w:vertAlign w:val="subscript"/>
        </w:rPr>
        <w:t>X</w:t>
      </w:r>
      <w:r w:rsidRPr="488416DB">
        <w:t xml:space="preserve"> reductions were large on several days in July, in areas close to municipal waste combustors, most notably on July 21</w:t>
      </w:r>
      <w:r w:rsidRPr="488416DB">
        <w:rPr>
          <w:vertAlign w:val="superscript"/>
        </w:rPr>
        <w:t>st</w:t>
      </w:r>
      <w:r w:rsidRPr="488416DB">
        <w:t xml:space="preserve"> and 22</w:t>
      </w:r>
      <w:r w:rsidRPr="488416DB">
        <w:rPr>
          <w:vertAlign w:val="superscript"/>
        </w:rPr>
        <w:t>nd</w:t>
      </w:r>
      <w:r>
        <w:t xml:space="preserve"> (up to 7.6 ppb and 6.6 ppb respectively).</w:t>
      </w:r>
    </w:p>
    <w:p w14:paraId="683F4856" w14:textId="4E905A81" w:rsidR="00E1261F" w:rsidRDefault="00E1261F" w:rsidP="00AF6261">
      <w:pPr>
        <w:jc w:val="center"/>
        <w:rPr>
          <w:rFonts w:cstheme="minorHAnsi"/>
          <w:iCs/>
        </w:rPr>
      </w:pPr>
    </w:p>
    <w:p w14:paraId="5EC6FE8E" w14:textId="6E7F1923" w:rsidR="00E1261F" w:rsidRPr="0058197C" w:rsidRDefault="5D96514C" w:rsidP="00E1261F">
      <w:pPr>
        <w:ind w:left="0"/>
        <w:jc w:val="center"/>
        <w:rPr>
          <w:rFonts w:cstheme="minorHAnsi"/>
          <w:iCs/>
        </w:rPr>
      </w:pPr>
      <w:r>
        <w:rPr>
          <w:noProof/>
        </w:rPr>
        <w:lastRenderedPageBreak/>
        <w:drawing>
          <wp:inline distT="0" distB="0" distL="0" distR="0" wp14:anchorId="7CEB605F" wp14:editId="44B7FDD1">
            <wp:extent cx="6010274" cy="3404290"/>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010274" cy="3404290"/>
                    </a:xfrm>
                    <a:prstGeom prst="rect">
                      <a:avLst/>
                    </a:prstGeom>
                  </pic:spPr>
                </pic:pic>
              </a:graphicData>
            </a:graphic>
          </wp:inline>
        </w:drawing>
      </w:r>
    </w:p>
    <w:p w14:paraId="45CD7819" w14:textId="472169B5" w:rsidR="00F30196" w:rsidRPr="0058197C" w:rsidRDefault="00F30196" w:rsidP="2FD54C7E">
      <w:pPr>
        <w:spacing w:line="240" w:lineRule="auto"/>
        <w:ind w:left="0"/>
      </w:pPr>
      <w:r w:rsidRPr="2FD54C7E">
        <w:rPr>
          <w:b/>
          <w:bCs/>
        </w:rPr>
        <w:t>Figure S</w:t>
      </w:r>
      <w:r w:rsidR="00472EA9">
        <w:rPr>
          <w:b/>
          <w:bCs/>
        </w:rPr>
        <w:t>16</w:t>
      </w:r>
      <w:r w:rsidRPr="2FD54C7E">
        <w:rPr>
          <w:b/>
          <w:bCs/>
        </w:rPr>
        <w:t>.</w:t>
      </w:r>
      <w:r w:rsidRPr="2FD54C7E">
        <w:t xml:space="preserve"> </w:t>
      </w:r>
      <w:proofErr w:type="spellStart"/>
      <w:r w:rsidRPr="2FD54C7E">
        <w:rPr>
          <w:b/>
          <w:bCs/>
        </w:rPr>
        <w:t>Nonroad</w:t>
      </w:r>
      <w:proofErr w:type="spellEnd"/>
      <w:r w:rsidRPr="2FD54C7E">
        <w:rPr>
          <w:b/>
          <w:bCs/>
        </w:rPr>
        <w:t xml:space="preserve"> diurnal emissions profiles used in sensitivity test</w:t>
      </w:r>
      <w:r w:rsidRPr="2FD54C7E">
        <w:t>. The 2011 base simulation (“old”) and sensitivity simulation are shown for the following sectors: construction equipment, residential lawn and garden equipment, commercial lawn and garden equipment and agricultural equipment.</w:t>
      </w:r>
    </w:p>
    <w:p w14:paraId="604E8E30" w14:textId="77777777" w:rsidR="00E1261F" w:rsidRDefault="00E1261F" w:rsidP="00E1261F">
      <w:pPr>
        <w:spacing w:line="240" w:lineRule="auto"/>
        <w:ind w:left="0"/>
        <w:rPr>
          <w:rFonts w:cstheme="minorHAnsi"/>
          <w:iCs/>
        </w:rPr>
      </w:pPr>
    </w:p>
    <w:p w14:paraId="40B1A1F3" w14:textId="77777777" w:rsidR="00E1261F" w:rsidRDefault="00E1261F" w:rsidP="00E1261F">
      <w:pPr>
        <w:rPr>
          <w:rFonts w:cstheme="minorHAnsi"/>
          <w:iCs/>
        </w:rPr>
      </w:pPr>
      <w:r>
        <w:rPr>
          <w:rFonts w:cstheme="minorHAnsi"/>
          <w:iCs/>
        </w:rPr>
        <w:br w:type="page"/>
      </w:r>
    </w:p>
    <w:p w14:paraId="799ED14C" w14:textId="77777777" w:rsidR="00E1261F" w:rsidRPr="0058197C" w:rsidRDefault="71CA8D43" w:rsidP="00E1261F">
      <w:pPr>
        <w:ind w:left="0"/>
        <w:rPr>
          <w:rFonts w:cstheme="minorHAnsi"/>
          <w:iCs/>
        </w:rPr>
      </w:pPr>
      <w:r>
        <w:rPr>
          <w:noProof/>
        </w:rPr>
        <w:lastRenderedPageBreak/>
        <w:drawing>
          <wp:inline distT="0" distB="0" distL="0" distR="0" wp14:anchorId="1EB046A2" wp14:editId="0E685836">
            <wp:extent cx="5943600" cy="3612515"/>
            <wp:effectExtent l="0" t="0" r="0" b="6985"/>
            <wp:docPr id="209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39">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A5375037-F558-4CEF-BDF2-EF104AD4F1C6}"/>
                        </a:ext>
                      </a:extLst>
                    </a:blip>
                    <a:stretch>
                      <a:fillRect/>
                    </a:stretch>
                  </pic:blipFill>
                  <pic:spPr>
                    <a:xfrm>
                      <a:off x="0" y="0"/>
                      <a:ext cx="5943600" cy="3612515"/>
                    </a:xfrm>
                    <a:prstGeom prst="rect">
                      <a:avLst/>
                    </a:prstGeom>
                  </pic:spPr>
                </pic:pic>
              </a:graphicData>
            </a:graphic>
          </wp:inline>
        </w:drawing>
      </w:r>
    </w:p>
    <w:p w14:paraId="13238848" w14:textId="0F0005AD" w:rsidR="0075217F" w:rsidRDefault="0075217F" w:rsidP="0075217F">
      <w:pPr>
        <w:pStyle w:val="NoSpacing"/>
        <w:ind w:left="0"/>
        <w:jc w:val="both"/>
      </w:pPr>
      <w:r w:rsidRPr="2FD54C7E">
        <w:rPr>
          <w:b/>
          <w:bCs/>
        </w:rPr>
        <w:t>Figure S</w:t>
      </w:r>
      <w:r w:rsidR="04D8CD14" w:rsidRPr="2FD54C7E">
        <w:rPr>
          <w:b/>
          <w:bCs/>
        </w:rPr>
        <w:t>1</w:t>
      </w:r>
      <w:r w:rsidR="00472EA9">
        <w:rPr>
          <w:b/>
          <w:bCs/>
        </w:rPr>
        <w:t>7</w:t>
      </w:r>
      <w:r w:rsidRPr="2FD54C7E">
        <w:rPr>
          <w:b/>
          <w:bCs/>
        </w:rPr>
        <w:t>.</w:t>
      </w:r>
      <w:r>
        <w:t xml:space="preserve"> </w:t>
      </w:r>
      <w:r w:rsidRPr="2FD54C7E">
        <w:rPr>
          <w:b/>
          <w:bCs/>
        </w:rPr>
        <w:t xml:space="preserve">Map of counties and parishes depicting source of temporal data. </w:t>
      </w:r>
      <w:r>
        <w:t>Locations shown in grey indicate that EPA default data (derived from VTRIS) was used vs. state submitted data (green and yellow). Sensitivity run #2 replaced all state-submitted temporal profile data with EPA VTRIS derived profiles (except California).</w:t>
      </w:r>
      <w:r w:rsidR="00326FE1">
        <w:t xml:space="preserve"> Source: </w:t>
      </w:r>
      <w:r>
        <w:fldChar w:fldCharType="begin" w:fldLock="1"/>
      </w:r>
      <w:r w:rsidR="00227EE5">
        <w:instrText>ADDIN CSL_CITATION {"citationItems":[{"id":"ITEM-1","itemData":{"author":[{"dropping-particle":"","family":"U.S. Environmental Protection Agency","given":"","non-dropping-particle":"","parse-names":false,"suffix":""}],"id":"ITEM-1","issued":{"date-parts":[["2016"]]},"number-of-pages":"195","title":"Technical Support Document (TSD): Preparation of Emissions Inventories for the Version 6.3, 2011 Emissions Modeling Platform","type":"report"},"uris":["http://www.mendeley.com/documents/?uuid=67bd1f30-a800-4394-b99f-71dbb1675833"]}],"mendeley":{"formattedCitation":"(U.S. Environmental Protection Agency, 2016)","plainTextFormattedCitation":"(U.S. Environmental Protection Agency, 2016)","previouslyFormattedCitation":"(U.S. Environmental Protection Agency, 2016)"},"properties":{"noteIndex":0},"schema":"https://github.com/citation-style-language/schema/raw/master/csl-citation.json"}</w:instrText>
      </w:r>
      <w:r>
        <w:fldChar w:fldCharType="separate"/>
      </w:r>
      <w:r w:rsidR="00AE5CC9" w:rsidRPr="00AE5CC9">
        <w:rPr>
          <w:noProof/>
        </w:rPr>
        <w:t>(U.S. Environmental Protection Agency, 2016)</w:t>
      </w:r>
      <w:r>
        <w:fldChar w:fldCharType="end"/>
      </w:r>
    </w:p>
    <w:p w14:paraId="3ED8ABF6" w14:textId="77777777" w:rsidR="00E1261F" w:rsidRDefault="00E1261F" w:rsidP="00E1261F">
      <w:pPr>
        <w:spacing w:line="240" w:lineRule="auto"/>
        <w:ind w:left="0"/>
        <w:rPr>
          <w:rFonts w:cstheme="minorHAnsi"/>
          <w:iCs/>
        </w:rPr>
      </w:pPr>
    </w:p>
    <w:p w14:paraId="1949DCBA" w14:textId="77777777" w:rsidR="00E1261F" w:rsidRDefault="00E1261F" w:rsidP="00E1261F">
      <w:pPr>
        <w:rPr>
          <w:rFonts w:cstheme="minorHAnsi"/>
          <w:iCs/>
        </w:rPr>
      </w:pPr>
      <w:r>
        <w:rPr>
          <w:rFonts w:cstheme="minorHAnsi"/>
          <w:iCs/>
        </w:rPr>
        <w:br w:type="page"/>
      </w:r>
    </w:p>
    <w:p w14:paraId="41A595AD" w14:textId="77777777" w:rsidR="00E1261F" w:rsidRPr="0058197C" w:rsidRDefault="00E1261F" w:rsidP="00E1261F">
      <w:pPr>
        <w:ind w:left="0"/>
        <w:rPr>
          <w:rFonts w:cstheme="minorHAnsi"/>
          <w:iCs/>
        </w:rPr>
      </w:pPr>
      <w:r w:rsidRPr="0058197C">
        <w:rPr>
          <w:rFonts w:cstheme="minorHAnsi"/>
          <w:iCs/>
          <w:noProof/>
        </w:rPr>
        <w:lastRenderedPageBreak/>
        <w:drawing>
          <wp:inline distT="0" distB="0" distL="0" distR="0" wp14:anchorId="6A2976A7" wp14:editId="53B9CC4B">
            <wp:extent cx="5376863" cy="4127500"/>
            <wp:effectExtent l="0" t="0" r="0" b="6350"/>
            <wp:docPr id="2098" name="Picture 37">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57A1C9-BB28-4382-9083-09628E2E2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 name="Picture 37">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657A1C9-BB28-4382-9083-09628E2E23ED}"/>
                        </a:ext>
                      </a:extLst>
                    </pic:cNvPr>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6863" cy="412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558ECB8C" w14:textId="324E2E0E" w:rsidR="0075217F" w:rsidRPr="0058197C" w:rsidRDefault="18B86DDF" w:rsidP="2FD54C7E">
      <w:pPr>
        <w:spacing w:line="240" w:lineRule="auto"/>
        <w:ind w:left="0"/>
      </w:pPr>
      <w:r w:rsidRPr="36C9B2A4">
        <w:rPr>
          <w:b/>
          <w:bCs/>
        </w:rPr>
        <w:t xml:space="preserve">Figure </w:t>
      </w:r>
      <w:r w:rsidR="4BB4DD5D" w:rsidRPr="36C9B2A4">
        <w:rPr>
          <w:b/>
          <w:bCs/>
        </w:rPr>
        <w:t>S18</w:t>
      </w:r>
      <w:r w:rsidRPr="36C9B2A4">
        <w:rPr>
          <w:b/>
          <w:bCs/>
        </w:rPr>
        <w:t>.</w:t>
      </w:r>
      <w:r>
        <w:t xml:space="preserve"> </w:t>
      </w:r>
      <w:r w:rsidRPr="36C9B2A4">
        <w:rPr>
          <w:b/>
          <w:bCs/>
        </w:rPr>
        <w:t>Example day-of-year temporal profile for EGU sources (fuel = “other”) in Eastern Virginia</w:t>
      </w:r>
      <w:r>
        <w:t xml:space="preserve">. </w:t>
      </w:r>
      <w:r w:rsidR="4AAD749C">
        <w:t>X-axis provides Julian day for 2011.  Y-axis provides fractional attribution of annual emissions to each day of the year.</w:t>
      </w:r>
      <w:r>
        <w:t xml:space="preserve"> Up to 7% of the annual emissions are emitted on a single day.</w:t>
      </w:r>
    </w:p>
    <w:p w14:paraId="2C961447" w14:textId="31C14732" w:rsidR="001500B0" w:rsidRDefault="001500B0">
      <w:pPr>
        <w:spacing w:line="259" w:lineRule="auto"/>
        <w:ind w:left="0"/>
        <w:rPr>
          <w:rFonts w:cstheme="minorHAnsi"/>
        </w:rPr>
      </w:pPr>
      <w:r>
        <w:rPr>
          <w:rFonts w:cstheme="minorHAnsi"/>
        </w:rPr>
        <w:br w:type="page"/>
      </w:r>
    </w:p>
    <w:p w14:paraId="39515DEA" w14:textId="77777777" w:rsidR="001500B0" w:rsidRDefault="001500B0" w:rsidP="001500B0">
      <w:pPr>
        <w:jc w:val="center"/>
        <w:rPr>
          <w:rFonts w:cstheme="minorHAnsi"/>
          <w:iCs/>
        </w:rPr>
      </w:pPr>
      <w:r w:rsidRPr="00F03D64">
        <w:rPr>
          <w:rFonts w:cstheme="minorHAnsi"/>
          <w:noProof/>
        </w:rPr>
        <w:lastRenderedPageBreak/>
        <w:drawing>
          <wp:inline distT="0" distB="0" distL="0" distR="0" wp14:anchorId="0CE528A1" wp14:editId="6E90C24E">
            <wp:extent cx="5334000" cy="533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34000" cy="5334000"/>
                    </a:xfrm>
                    <a:prstGeom prst="rect">
                      <a:avLst/>
                    </a:prstGeom>
                    <a:noFill/>
                    <a:ln>
                      <a:noFill/>
                    </a:ln>
                  </pic:spPr>
                </pic:pic>
              </a:graphicData>
            </a:graphic>
          </wp:inline>
        </w:drawing>
      </w:r>
    </w:p>
    <w:p w14:paraId="018CAD68" w14:textId="5364969E" w:rsidR="001500B0" w:rsidRPr="0058197C" w:rsidRDefault="001500B0" w:rsidP="0727A76A">
      <w:pPr>
        <w:spacing w:after="0" w:line="240" w:lineRule="auto"/>
      </w:pPr>
      <w:r w:rsidRPr="0727A76A">
        <w:rPr>
          <w:b/>
          <w:bCs/>
        </w:rPr>
        <w:t xml:space="preserve">Figure </w:t>
      </w:r>
      <w:r w:rsidR="00472EA9" w:rsidRPr="0727A76A">
        <w:rPr>
          <w:b/>
          <w:bCs/>
        </w:rPr>
        <w:t>S19</w:t>
      </w:r>
      <w:r w:rsidRPr="0727A76A">
        <w:rPr>
          <w:b/>
          <w:bCs/>
        </w:rPr>
        <w:t>.</w:t>
      </w:r>
      <w:r>
        <w:t xml:space="preserve"> </w:t>
      </w:r>
      <w:r w:rsidRPr="0727A76A">
        <w:rPr>
          <w:b/>
          <w:bCs/>
        </w:rPr>
        <w:t>Change in the July 2011 average of modeled NO</w:t>
      </w:r>
      <w:r w:rsidRPr="0727A76A">
        <w:rPr>
          <w:b/>
          <w:bCs/>
          <w:vertAlign w:val="subscript"/>
        </w:rPr>
        <w:t>X</w:t>
      </w:r>
      <w:r w:rsidRPr="0727A76A">
        <w:rPr>
          <w:b/>
          <w:bCs/>
        </w:rPr>
        <w:t xml:space="preserve"> concentrations (ppb) resulting from sensitivity tests</w:t>
      </w:r>
      <w:r>
        <w:t xml:space="preserve">. (a) </w:t>
      </w:r>
      <w:proofErr w:type="spellStart"/>
      <w:r>
        <w:t>nonroad</w:t>
      </w:r>
      <w:proofErr w:type="spellEnd"/>
      <w:r>
        <w:t xml:space="preserve"> emissions adjustments, (b) alternative heavy-duty </w:t>
      </w:r>
      <w:proofErr w:type="spellStart"/>
      <w:r>
        <w:t>onroad</w:t>
      </w:r>
      <w:proofErr w:type="spellEnd"/>
      <w:r>
        <w:t xml:space="preserve"> temporal profiles, (c) alternative temporal allocation of CEMs for year 2011 and d)</w:t>
      </w:r>
      <w:r w:rsidR="491DEF9E">
        <w:t xml:space="preserve"> CB6 chemical mechanism versus CB05 chemical mechanism</w:t>
      </w:r>
      <w:r>
        <w:t xml:space="preserve"> </w:t>
      </w:r>
      <w:r w:rsidR="4DBC6112">
        <w:t>(12-km horizontal grid resolution, all hours averaged)</w:t>
      </w:r>
      <w:r>
        <w:t xml:space="preserve">. </w:t>
      </w:r>
    </w:p>
    <w:p w14:paraId="5ED51D15" w14:textId="1165B6FB" w:rsidR="001500B0" w:rsidRDefault="001500B0">
      <w:pPr>
        <w:spacing w:line="259" w:lineRule="auto"/>
        <w:ind w:left="0"/>
        <w:rPr>
          <w:rFonts w:cstheme="minorHAnsi"/>
        </w:rPr>
      </w:pPr>
      <w:r>
        <w:rPr>
          <w:rFonts w:cstheme="minorHAnsi"/>
        </w:rPr>
        <w:br w:type="page"/>
      </w:r>
    </w:p>
    <w:p w14:paraId="6A6ABEB2" w14:textId="5E7FF60F" w:rsidR="7B8A1E9F" w:rsidRDefault="7B8A1E9F" w:rsidP="46007DA3">
      <w:pPr>
        <w:spacing w:after="0" w:line="240" w:lineRule="auto"/>
        <w:ind w:left="0"/>
      </w:pPr>
      <w:r>
        <w:rPr>
          <w:noProof/>
        </w:rPr>
        <w:lastRenderedPageBreak/>
        <w:drawing>
          <wp:inline distT="0" distB="0" distL="0" distR="0" wp14:anchorId="5408A7AD" wp14:editId="4D8D3697">
            <wp:extent cx="5943600" cy="1981200"/>
            <wp:effectExtent l="0" t="0" r="0" b="0"/>
            <wp:docPr id="42490949" name="Picture 4249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r>
        <w:rPr>
          <w:noProof/>
        </w:rPr>
        <w:drawing>
          <wp:inline distT="0" distB="0" distL="0" distR="0" wp14:anchorId="3B9C39E8" wp14:editId="4D74A9DB">
            <wp:extent cx="5943600" cy="1981200"/>
            <wp:effectExtent l="0" t="0" r="0" b="0"/>
            <wp:docPr id="1011170004" name="Picture 101117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r w:rsidR="75A7BA5D">
        <w:rPr>
          <w:noProof/>
        </w:rPr>
        <w:drawing>
          <wp:inline distT="0" distB="0" distL="0" distR="0" wp14:anchorId="43B4FCE6" wp14:editId="73822B12">
            <wp:extent cx="5943600" cy="1981200"/>
            <wp:effectExtent l="0" t="0" r="0" b="0"/>
            <wp:docPr id="544988126" name="Picture 544988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r w:rsidR="75A7BA5D">
        <w:rPr>
          <w:noProof/>
        </w:rPr>
        <w:drawing>
          <wp:inline distT="0" distB="0" distL="0" distR="0" wp14:anchorId="5F244F71" wp14:editId="39BC7A20">
            <wp:extent cx="5943600" cy="1981200"/>
            <wp:effectExtent l="0" t="0" r="0" b="0"/>
            <wp:docPr id="217755521" name="Picture 217755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943600" cy="1981200"/>
                    </a:xfrm>
                    <a:prstGeom prst="rect">
                      <a:avLst/>
                    </a:prstGeom>
                  </pic:spPr>
                </pic:pic>
              </a:graphicData>
            </a:graphic>
          </wp:inline>
        </w:drawing>
      </w:r>
    </w:p>
    <w:p w14:paraId="2BE541D7" w14:textId="114663B0" w:rsidR="6C9B8DC4" w:rsidRDefault="6C9B8DC4" w:rsidP="6C9B8DC4">
      <w:pPr>
        <w:spacing w:after="0" w:line="240" w:lineRule="auto"/>
        <w:ind w:left="0"/>
        <w:rPr>
          <w:b/>
          <w:bCs/>
        </w:rPr>
      </w:pPr>
    </w:p>
    <w:p w14:paraId="159D3A44" w14:textId="0AABB869" w:rsidR="00A85C66" w:rsidRDefault="00A85C66" w:rsidP="00A85C66">
      <w:pPr>
        <w:pStyle w:val="NoSpacing"/>
        <w:tabs>
          <w:tab w:val="left" w:pos="0"/>
        </w:tabs>
        <w:ind w:left="0"/>
      </w:pPr>
      <w:r>
        <w:rPr>
          <w:b/>
          <w:bCs/>
        </w:rPr>
        <w:lastRenderedPageBreak/>
        <w:t>Figure S20.</w:t>
      </w:r>
      <w:r>
        <w:t xml:space="preserve"> </w:t>
      </w:r>
      <w:r>
        <w:rPr>
          <w:b/>
          <w:bCs/>
        </w:rPr>
        <w:t>Change in modeled NO</w:t>
      </w:r>
      <w:r w:rsidRPr="009A6BCD">
        <w:rPr>
          <w:b/>
          <w:bCs/>
          <w:vertAlign w:val="subscript"/>
        </w:rPr>
        <w:t>X</w:t>
      </w:r>
      <w:r>
        <w:rPr>
          <w:b/>
          <w:bCs/>
        </w:rPr>
        <w:t xml:space="preserve"> mixing ratio (ppb) resulting from updating from CMAQv5.0.2 to CMAQv5.1.</w:t>
      </w:r>
      <w:r>
        <w:t xml:space="preserve">  Maps show the spatial distribution of this change </w:t>
      </w:r>
      <w:r w:rsidR="009A6BCD">
        <w:t xml:space="preserve">for </w:t>
      </w:r>
      <w:r>
        <w:t>(a) January 2011 average 4am – 9am LST NO</w:t>
      </w:r>
      <w:r w:rsidRPr="009A6BCD">
        <w:rPr>
          <w:vertAlign w:val="subscript"/>
        </w:rPr>
        <w:t>X</w:t>
      </w:r>
      <w:r>
        <w:t xml:space="preserve"> from CMAQv5.0.2 simulation, (b) same as (a) but for July 2011, (c-d) difference between CMAQv5.1 and CMAQv5.0.2, (e-f) difference between meteorology sensitivity and CMAQv5.0.2, (g-h) difference between CMAQv5.1 and meteorology sensitivity.</w:t>
      </w:r>
    </w:p>
    <w:p w14:paraId="4FAE570B" w14:textId="4AB67F56" w:rsidR="6C9B8DC4" w:rsidRDefault="6C9B8DC4" w:rsidP="6C9B8DC4">
      <w:pPr>
        <w:spacing w:line="240" w:lineRule="auto"/>
        <w:ind w:left="0"/>
        <w:rPr>
          <w:b/>
          <w:bCs/>
        </w:rPr>
      </w:pPr>
    </w:p>
    <w:p w14:paraId="56173C13" w14:textId="604CDA1F" w:rsidR="44F06A26" w:rsidRDefault="44F06A26" w:rsidP="6C9B8DC4">
      <w:pPr>
        <w:spacing w:line="240" w:lineRule="auto"/>
        <w:ind w:left="0"/>
      </w:pPr>
      <w:r>
        <w:rPr>
          <w:noProof/>
        </w:rPr>
        <w:drawing>
          <wp:inline distT="0" distB="0" distL="0" distR="0" wp14:anchorId="06F3FDE5" wp14:editId="635DC559">
            <wp:extent cx="5943600" cy="2971800"/>
            <wp:effectExtent l="0" t="0" r="0" b="0"/>
            <wp:docPr id="1640018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CD3F924" w14:textId="46BC4F10"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03C299DA" w:rsidRPr="6C9B8DC4">
        <w:rPr>
          <w:b/>
          <w:bCs/>
        </w:rPr>
        <w:t>1</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 2011.</w:t>
      </w:r>
    </w:p>
    <w:p w14:paraId="1FAC5D25" w14:textId="28F3E2BD" w:rsidR="002C396C" w:rsidRDefault="75849DCE" w:rsidP="002C396C">
      <w:pPr>
        <w:spacing w:line="240" w:lineRule="auto"/>
        <w:ind w:left="0"/>
        <w:rPr>
          <w:b/>
        </w:rPr>
      </w:pPr>
      <w:r>
        <w:rPr>
          <w:noProof/>
        </w:rPr>
        <w:drawing>
          <wp:inline distT="0" distB="0" distL="0" distR="0" wp14:anchorId="16890FC0" wp14:editId="4FFD0F0D">
            <wp:extent cx="5943600" cy="2971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B09DBDB" w14:textId="1283B88E"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783D01C3" w:rsidRPr="6C9B8DC4">
        <w:rPr>
          <w:b/>
          <w:bCs/>
        </w:rPr>
        <w:t>2</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 2011.</w:t>
      </w:r>
    </w:p>
    <w:p w14:paraId="1D2FE97D" w14:textId="175F273B" w:rsidR="002C396C" w:rsidRDefault="75849DCE" w:rsidP="002C396C">
      <w:pPr>
        <w:spacing w:line="240" w:lineRule="auto"/>
        <w:ind w:left="0"/>
        <w:rPr>
          <w:b/>
        </w:rPr>
      </w:pPr>
      <w:r>
        <w:rPr>
          <w:noProof/>
        </w:rPr>
        <w:lastRenderedPageBreak/>
        <w:drawing>
          <wp:inline distT="0" distB="0" distL="0" distR="0" wp14:anchorId="1ADADC95" wp14:editId="24546782">
            <wp:extent cx="5943600" cy="2971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4442B1C" w14:textId="08929306"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08C6EDC0" w:rsidRPr="6C9B8DC4">
        <w:rPr>
          <w:b/>
          <w:bCs/>
        </w:rPr>
        <w:t>3</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5, 2011.</w:t>
      </w:r>
    </w:p>
    <w:p w14:paraId="4B73CFC9" w14:textId="4BB3A3D4" w:rsidR="002C396C" w:rsidRDefault="75849DCE" w:rsidP="002C396C">
      <w:pPr>
        <w:spacing w:line="240" w:lineRule="auto"/>
        <w:ind w:left="0"/>
        <w:rPr>
          <w:b/>
        </w:rPr>
      </w:pPr>
      <w:r>
        <w:rPr>
          <w:noProof/>
        </w:rPr>
        <w:drawing>
          <wp:inline distT="0" distB="0" distL="0" distR="0" wp14:anchorId="217CF5EE" wp14:editId="7C07B037">
            <wp:extent cx="5943600" cy="2971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2636C71C" w14:textId="0F3B25C9"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099B10F0" w:rsidRPr="6C9B8DC4">
        <w:rPr>
          <w:b/>
          <w:bCs/>
        </w:rPr>
        <w:t>4</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10, 2011.</w:t>
      </w:r>
    </w:p>
    <w:p w14:paraId="3637001A" w14:textId="63C1F0B3" w:rsidR="002C396C" w:rsidRDefault="75849DCE" w:rsidP="002C396C">
      <w:pPr>
        <w:spacing w:line="240" w:lineRule="auto"/>
        <w:ind w:left="0"/>
        <w:rPr>
          <w:b/>
        </w:rPr>
      </w:pPr>
      <w:r>
        <w:rPr>
          <w:noProof/>
        </w:rPr>
        <w:lastRenderedPageBreak/>
        <w:drawing>
          <wp:inline distT="0" distB="0" distL="0" distR="0" wp14:anchorId="65E962D2" wp14:editId="6697FA4A">
            <wp:extent cx="5943600" cy="2971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E815344" w14:textId="00C20A3E"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08F7AE3A" w:rsidRPr="6C9B8DC4">
        <w:rPr>
          <w:b/>
          <w:bCs/>
        </w:rPr>
        <w:t>5</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11, 2011.</w:t>
      </w:r>
    </w:p>
    <w:p w14:paraId="006A1D95" w14:textId="390033CF" w:rsidR="002C396C" w:rsidRDefault="75849DCE" w:rsidP="002C396C">
      <w:pPr>
        <w:spacing w:line="240" w:lineRule="auto"/>
        <w:ind w:left="0"/>
        <w:rPr>
          <w:b/>
        </w:rPr>
      </w:pPr>
      <w:r>
        <w:rPr>
          <w:noProof/>
        </w:rPr>
        <w:drawing>
          <wp:inline distT="0" distB="0" distL="0" distR="0" wp14:anchorId="4A5D8324" wp14:editId="5B54B45D">
            <wp:extent cx="5943600" cy="2971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6264263A" w14:textId="44485A67"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270E9FB8" w:rsidRPr="6C9B8DC4">
        <w:rPr>
          <w:b/>
          <w:bCs/>
        </w:rPr>
        <w:t>6</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14, 2011.</w:t>
      </w:r>
    </w:p>
    <w:p w14:paraId="33BC26B8" w14:textId="19FA650C" w:rsidR="002C396C" w:rsidRDefault="75849DCE" w:rsidP="002C396C">
      <w:pPr>
        <w:spacing w:line="240" w:lineRule="auto"/>
        <w:ind w:left="0"/>
        <w:rPr>
          <w:b/>
        </w:rPr>
      </w:pPr>
      <w:r>
        <w:rPr>
          <w:noProof/>
        </w:rPr>
        <w:lastRenderedPageBreak/>
        <w:drawing>
          <wp:inline distT="0" distB="0" distL="0" distR="0" wp14:anchorId="10CEAB6A" wp14:editId="6E3E67D4">
            <wp:extent cx="5943600" cy="2971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71B66B2" w14:textId="29B2D170"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5B65F658" w:rsidRPr="6C9B8DC4">
        <w:rPr>
          <w:b/>
          <w:bCs/>
        </w:rPr>
        <w:t>7</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16, 2011.</w:t>
      </w:r>
    </w:p>
    <w:p w14:paraId="1076444F" w14:textId="24013140" w:rsidR="002C396C" w:rsidRDefault="75849DCE" w:rsidP="002C396C">
      <w:pPr>
        <w:spacing w:line="240" w:lineRule="auto"/>
        <w:ind w:left="0"/>
        <w:rPr>
          <w:b/>
        </w:rPr>
      </w:pPr>
      <w:r>
        <w:rPr>
          <w:noProof/>
        </w:rPr>
        <w:drawing>
          <wp:inline distT="0" distB="0" distL="0" distR="0" wp14:anchorId="75F36A5C" wp14:editId="0A374487">
            <wp:extent cx="5943600" cy="2971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13F9C86" w14:textId="641E31EB"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383CCF9D" w:rsidRPr="6C9B8DC4">
        <w:rPr>
          <w:b/>
          <w:bCs/>
        </w:rPr>
        <w:t>8</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20, 2011.</w:t>
      </w:r>
    </w:p>
    <w:p w14:paraId="34DA1F5E" w14:textId="37F32A82" w:rsidR="002C396C" w:rsidRDefault="75849DCE" w:rsidP="002C396C">
      <w:pPr>
        <w:spacing w:line="240" w:lineRule="auto"/>
        <w:ind w:left="0"/>
        <w:rPr>
          <w:b/>
        </w:rPr>
      </w:pPr>
      <w:r>
        <w:rPr>
          <w:noProof/>
        </w:rPr>
        <w:lastRenderedPageBreak/>
        <w:drawing>
          <wp:inline distT="0" distB="0" distL="0" distR="0" wp14:anchorId="4401F3A8" wp14:editId="09BF9137">
            <wp:extent cx="5943600" cy="2971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70647CB2" w14:textId="7F322D8E" w:rsidR="002C396C" w:rsidRPr="001D5A45" w:rsidRDefault="002C396C" w:rsidP="6C9B8DC4">
      <w:pPr>
        <w:spacing w:line="240" w:lineRule="auto"/>
        <w:ind w:left="0"/>
        <w:rPr>
          <w:b/>
          <w:bCs/>
        </w:rPr>
      </w:pPr>
      <w:r w:rsidRPr="6C9B8DC4">
        <w:rPr>
          <w:b/>
          <w:bCs/>
        </w:rPr>
        <w:t xml:space="preserve">Figure </w:t>
      </w:r>
      <w:r w:rsidR="00472EA9" w:rsidRPr="6C9B8DC4">
        <w:rPr>
          <w:b/>
          <w:bCs/>
        </w:rPr>
        <w:t>S2</w:t>
      </w:r>
      <w:r w:rsidR="129A328C" w:rsidRPr="6C9B8DC4">
        <w:rPr>
          <w:b/>
          <w:bCs/>
        </w:rPr>
        <w:t>9</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21, 2011.</w:t>
      </w:r>
    </w:p>
    <w:p w14:paraId="1DFB61E8" w14:textId="344852F0" w:rsidR="002C396C" w:rsidRDefault="75849DCE" w:rsidP="002C396C">
      <w:pPr>
        <w:spacing w:line="240" w:lineRule="auto"/>
        <w:ind w:left="0"/>
        <w:rPr>
          <w:b/>
        </w:rPr>
      </w:pPr>
      <w:r>
        <w:rPr>
          <w:noProof/>
        </w:rPr>
        <w:drawing>
          <wp:inline distT="0" distB="0" distL="0" distR="0" wp14:anchorId="31882727" wp14:editId="3425F5CB">
            <wp:extent cx="5943600" cy="2971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5A10A575" w14:textId="563D5FAA" w:rsidR="002C396C" w:rsidRPr="001D5A45" w:rsidRDefault="002C396C" w:rsidP="6C9B8DC4">
      <w:pPr>
        <w:spacing w:line="240" w:lineRule="auto"/>
        <w:ind w:left="0"/>
        <w:rPr>
          <w:b/>
          <w:bCs/>
        </w:rPr>
      </w:pPr>
      <w:r w:rsidRPr="6C9B8DC4">
        <w:rPr>
          <w:b/>
          <w:bCs/>
        </w:rPr>
        <w:t xml:space="preserve">Figure </w:t>
      </w:r>
      <w:r w:rsidR="00472EA9" w:rsidRPr="6C9B8DC4">
        <w:rPr>
          <w:b/>
          <w:bCs/>
        </w:rPr>
        <w:t>S</w:t>
      </w:r>
      <w:r w:rsidR="62BA52E9" w:rsidRPr="6C9B8DC4">
        <w:rPr>
          <w:b/>
          <w:bCs/>
        </w:rPr>
        <w:t>30</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22, 2011.</w:t>
      </w:r>
    </w:p>
    <w:p w14:paraId="374428AC" w14:textId="32735CA5" w:rsidR="002C396C" w:rsidRDefault="75849DCE" w:rsidP="002C396C">
      <w:pPr>
        <w:spacing w:line="240" w:lineRule="auto"/>
        <w:ind w:left="0"/>
        <w:rPr>
          <w:b/>
        </w:rPr>
      </w:pPr>
      <w:r>
        <w:rPr>
          <w:noProof/>
        </w:rPr>
        <w:lastRenderedPageBreak/>
        <w:drawing>
          <wp:inline distT="0" distB="0" distL="0" distR="0" wp14:anchorId="14A91A6C" wp14:editId="5F744EC2">
            <wp:extent cx="5943600" cy="29718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BA86FD1" w14:textId="51E009E1" w:rsidR="002C396C" w:rsidRPr="001D5A45" w:rsidRDefault="002C396C" w:rsidP="6C9B8DC4">
      <w:pPr>
        <w:spacing w:line="240" w:lineRule="auto"/>
        <w:ind w:left="0"/>
        <w:rPr>
          <w:b/>
          <w:bCs/>
        </w:rPr>
      </w:pPr>
      <w:r w:rsidRPr="6C9B8DC4">
        <w:rPr>
          <w:b/>
          <w:bCs/>
        </w:rPr>
        <w:t xml:space="preserve">Figure </w:t>
      </w:r>
      <w:r w:rsidR="00472EA9" w:rsidRPr="6C9B8DC4">
        <w:rPr>
          <w:b/>
          <w:bCs/>
        </w:rPr>
        <w:t>S3</w:t>
      </w:r>
      <w:r w:rsidR="15BCCFCD" w:rsidRPr="6C9B8DC4">
        <w:rPr>
          <w:b/>
          <w:bCs/>
        </w:rPr>
        <w:t>1</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26, 2011.</w:t>
      </w:r>
    </w:p>
    <w:p w14:paraId="3AAE6A43" w14:textId="4186DF2E" w:rsidR="002C396C" w:rsidRDefault="75849DCE" w:rsidP="002C396C">
      <w:pPr>
        <w:spacing w:line="240" w:lineRule="auto"/>
        <w:ind w:left="0"/>
        <w:rPr>
          <w:b/>
        </w:rPr>
      </w:pPr>
      <w:r>
        <w:rPr>
          <w:noProof/>
        </w:rPr>
        <w:drawing>
          <wp:inline distT="0" distB="0" distL="0" distR="0" wp14:anchorId="37D6CAF0" wp14:editId="498955C5">
            <wp:extent cx="5943600" cy="2971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7D67780" w14:textId="10DDDF0E" w:rsidR="002C396C" w:rsidRPr="001D5A45" w:rsidRDefault="002C396C" w:rsidP="6C9B8DC4">
      <w:pPr>
        <w:spacing w:line="240" w:lineRule="auto"/>
        <w:ind w:left="0"/>
        <w:rPr>
          <w:b/>
          <w:bCs/>
        </w:rPr>
      </w:pPr>
      <w:r w:rsidRPr="6C9B8DC4">
        <w:rPr>
          <w:b/>
          <w:bCs/>
        </w:rPr>
        <w:t xml:space="preserve">Figure </w:t>
      </w:r>
      <w:r w:rsidR="00472EA9" w:rsidRPr="6C9B8DC4">
        <w:rPr>
          <w:b/>
          <w:bCs/>
        </w:rPr>
        <w:t>S3</w:t>
      </w:r>
      <w:r w:rsidR="3CACA15A" w:rsidRPr="6C9B8DC4">
        <w:rPr>
          <w:b/>
          <w:bCs/>
        </w:rPr>
        <w:t>2</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27, 2011.</w:t>
      </w:r>
    </w:p>
    <w:p w14:paraId="554FE582" w14:textId="35F34DDA" w:rsidR="002C396C" w:rsidRDefault="75849DCE" w:rsidP="002C396C">
      <w:pPr>
        <w:spacing w:line="240" w:lineRule="auto"/>
        <w:ind w:left="0"/>
        <w:rPr>
          <w:b/>
        </w:rPr>
      </w:pPr>
      <w:r>
        <w:rPr>
          <w:noProof/>
        </w:rPr>
        <w:lastRenderedPageBreak/>
        <w:drawing>
          <wp:inline distT="0" distB="0" distL="0" distR="0" wp14:anchorId="4227EA7E" wp14:editId="0061D775">
            <wp:extent cx="5943600" cy="29718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19B3236C" w14:textId="757F2C89" w:rsidR="002C396C" w:rsidRPr="001D5A45" w:rsidRDefault="002C396C" w:rsidP="6C9B8DC4">
      <w:pPr>
        <w:spacing w:line="240" w:lineRule="auto"/>
        <w:ind w:left="0"/>
        <w:rPr>
          <w:b/>
          <w:bCs/>
        </w:rPr>
      </w:pPr>
      <w:r w:rsidRPr="6C9B8DC4">
        <w:rPr>
          <w:b/>
          <w:bCs/>
        </w:rPr>
        <w:t xml:space="preserve">Figure </w:t>
      </w:r>
      <w:r w:rsidR="00472EA9" w:rsidRPr="6C9B8DC4">
        <w:rPr>
          <w:b/>
          <w:bCs/>
        </w:rPr>
        <w:t>S3</w:t>
      </w:r>
      <w:r w:rsidR="5B6D4A84" w:rsidRPr="6C9B8DC4">
        <w:rPr>
          <w:b/>
          <w:bCs/>
        </w:rPr>
        <w:t>3</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28, 2011.</w:t>
      </w:r>
    </w:p>
    <w:p w14:paraId="6EE9725B" w14:textId="578097F4" w:rsidR="002C396C" w:rsidRDefault="75849DCE" w:rsidP="002C396C">
      <w:pPr>
        <w:spacing w:line="240" w:lineRule="auto"/>
        <w:ind w:left="0"/>
        <w:rPr>
          <w:b/>
        </w:rPr>
      </w:pPr>
      <w:r>
        <w:rPr>
          <w:noProof/>
        </w:rPr>
        <w:drawing>
          <wp:inline distT="0" distB="0" distL="0" distR="0" wp14:anchorId="2F6B6A71" wp14:editId="6E1AF5F0">
            <wp:extent cx="5943600" cy="2971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862A960" w14:textId="69571EFF" w:rsidR="002C396C" w:rsidRPr="001D5A45" w:rsidRDefault="002C396C" w:rsidP="6C9B8DC4">
      <w:pPr>
        <w:spacing w:line="240" w:lineRule="auto"/>
        <w:ind w:left="0"/>
        <w:rPr>
          <w:b/>
          <w:bCs/>
        </w:rPr>
      </w:pPr>
      <w:r w:rsidRPr="6C9B8DC4">
        <w:rPr>
          <w:b/>
          <w:bCs/>
        </w:rPr>
        <w:t xml:space="preserve">Figure </w:t>
      </w:r>
      <w:r w:rsidR="00472EA9" w:rsidRPr="6C9B8DC4">
        <w:rPr>
          <w:b/>
          <w:bCs/>
        </w:rPr>
        <w:t>S3</w:t>
      </w:r>
      <w:r w:rsidR="0B8105FD" w:rsidRPr="6C9B8DC4">
        <w:rPr>
          <w:b/>
          <w:bCs/>
        </w:rPr>
        <w:t>4</w:t>
      </w:r>
      <w:r w:rsidRPr="6C9B8DC4">
        <w:rPr>
          <w:b/>
          <w:bCs/>
        </w:rPr>
        <w:t xml:space="preserve">. Paired model and observed </w:t>
      </w:r>
      <w:proofErr w:type="spellStart"/>
      <w:r w:rsidRPr="6C9B8DC4">
        <w:rPr>
          <w:b/>
          <w:bCs/>
        </w:rPr>
        <w:t>NOy</w:t>
      </w:r>
      <w:proofErr w:type="spellEnd"/>
      <w:r w:rsidRPr="6C9B8DC4">
        <w:rPr>
          <w:b/>
          <w:bCs/>
        </w:rPr>
        <w:t xml:space="preserve"> from DISCOVER-AQ Baltimore flight on July 29, 2011.</w:t>
      </w:r>
    </w:p>
    <w:p w14:paraId="152496C0" w14:textId="77777777" w:rsidR="001500B0" w:rsidRDefault="001500B0">
      <w:pPr>
        <w:spacing w:line="259" w:lineRule="auto"/>
        <w:ind w:left="0"/>
        <w:rPr>
          <w:b/>
        </w:rPr>
      </w:pPr>
      <w:r>
        <w:rPr>
          <w:b/>
        </w:rPr>
        <w:br w:type="page"/>
      </w:r>
    </w:p>
    <w:p w14:paraId="02969FB9" w14:textId="52FED455" w:rsidR="006A340B" w:rsidRPr="001D5A45" w:rsidRDefault="006A340B" w:rsidP="006A340B">
      <w:pPr>
        <w:spacing w:line="240" w:lineRule="auto"/>
        <w:ind w:left="0"/>
        <w:rPr>
          <w:b/>
        </w:rPr>
      </w:pPr>
      <w:r>
        <w:rPr>
          <w:b/>
        </w:rPr>
        <w:lastRenderedPageBreak/>
        <w:t xml:space="preserve">Tables S1: List of model chemical mechanism species that were assigned to each measured </w:t>
      </w:r>
      <w:proofErr w:type="spellStart"/>
      <w:r>
        <w:rPr>
          <w:b/>
        </w:rPr>
        <w:t>NOy</w:t>
      </w:r>
      <w:proofErr w:type="spellEnd"/>
      <w:r>
        <w:rPr>
          <w:b/>
        </w:rPr>
        <w:t xml:space="preserve"> species.</w:t>
      </w:r>
    </w:p>
    <w:tbl>
      <w:tblPr>
        <w:tblStyle w:val="TableGrid"/>
        <w:tblW w:w="0" w:type="auto"/>
        <w:tblLook w:val="04A0" w:firstRow="1" w:lastRow="0" w:firstColumn="1" w:lastColumn="0" w:noHBand="0" w:noVBand="1"/>
      </w:tblPr>
      <w:tblGrid>
        <w:gridCol w:w="1870"/>
        <w:gridCol w:w="1275"/>
        <w:gridCol w:w="1260"/>
        <w:gridCol w:w="900"/>
        <w:gridCol w:w="4045"/>
      </w:tblGrid>
      <w:tr w:rsidR="006A340B" w14:paraId="2CFF145A" w14:textId="77777777" w:rsidTr="006A340B">
        <w:tc>
          <w:tcPr>
            <w:tcW w:w="1870" w:type="dxa"/>
          </w:tcPr>
          <w:p w14:paraId="4FC7F4C3" w14:textId="50FF8669" w:rsidR="006A340B" w:rsidRDefault="006A340B">
            <w:pPr>
              <w:ind w:left="0"/>
            </w:pPr>
            <w:r>
              <w:t>Measured Species</w:t>
            </w:r>
          </w:p>
        </w:tc>
        <w:tc>
          <w:tcPr>
            <w:tcW w:w="1275" w:type="dxa"/>
          </w:tcPr>
          <w:p w14:paraId="4505CAAF" w14:textId="573A92AC" w:rsidR="006A340B" w:rsidRDefault="006A340B">
            <w:pPr>
              <w:ind w:left="0"/>
            </w:pPr>
            <w:r>
              <w:t>NOx</w:t>
            </w:r>
          </w:p>
        </w:tc>
        <w:tc>
          <w:tcPr>
            <w:tcW w:w="1260" w:type="dxa"/>
          </w:tcPr>
          <w:p w14:paraId="0A3D805B" w14:textId="24A3469C" w:rsidR="006A340B" w:rsidRDefault="006A340B">
            <w:pPr>
              <w:ind w:left="0"/>
            </w:pPr>
            <w:r>
              <w:t>ANs</w:t>
            </w:r>
          </w:p>
        </w:tc>
        <w:tc>
          <w:tcPr>
            <w:tcW w:w="900" w:type="dxa"/>
          </w:tcPr>
          <w:p w14:paraId="7471E24C" w14:textId="78B470F7" w:rsidR="006A340B" w:rsidRDefault="006A340B">
            <w:pPr>
              <w:ind w:left="0"/>
            </w:pPr>
            <w:r>
              <w:t>PNs</w:t>
            </w:r>
          </w:p>
        </w:tc>
        <w:tc>
          <w:tcPr>
            <w:tcW w:w="4045" w:type="dxa"/>
          </w:tcPr>
          <w:p w14:paraId="50036323" w14:textId="13B32FBD" w:rsidR="006A340B" w:rsidRPr="0048052C" w:rsidRDefault="006A340B">
            <w:pPr>
              <w:ind w:left="0"/>
              <w:rPr>
                <w:vertAlign w:val="subscript"/>
              </w:rPr>
            </w:pPr>
            <w:proofErr w:type="spellStart"/>
            <w:r>
              <w:t>NOy</w:t>
            </w:r>
            <w:proofErr w:type="spellEnd"/>
            <w:r>
              <w:t xml:space="preserve">; </w:t>
            </w:r>
            <w:r>
              <w:rPr>
                <w:rFonts w:cstheme="minorHAnsi"/>
              </w:rPr>
              <w:t>∑</w:t>
            </w:r>
            <w:proofErr w:type="spellStart"/>
            <w:r>
              <w:rPr>
                <w:rFonts w:cstheme="minorHAnsi"/>
              </w:rPr>
              <w:t>NOy</w:t>
            </w:r>
            <w:r>
              <w:rPr>
                <w:rFonts w:cstheme="minorHAnsi"/>
                <w:vertAlign w:val="subscript"/>
              </w:rPr>
              <w:t>i</w:t>
            </w:r>
            <w:proofErr w:type="spellEnd"/>
          </w:p>
        </w:tc>
      </w:tr>
      <w:tr w:rsidR="006A340B" w:rsidRPr="00DF7FC8" w14:paraId="4F54F6FF" w14:textId="77777777" w:rsidTr="006A340B">
        <w:tc>
          <w:tcPr>
            <w:tcW w:w="1870" w:type="dxa"/>
          </w:tcPr>
          <w:p w14:paraId="50BC83FB" w14:textId="654FD890" w:rsidR="006A340B" w:rsidRDefault="006A340B">
            <w:pPr>
              <w:ind w:left="0"/>
            </w:pPr>
            <w:r>
              <w:t>Modeled species: CB05</w:t>
            </w:r>
          </w:p>
        </w:tc>
        <w:tc>
          <w:tcPr>
            <w:tcW w:w="1275" w:type="dxa"/>
          </w:tcPr>
          <w:p w14:paraId="6B20125E" w14:textId="29F109B9" w:rsidR="006A340B" w:rsidRPr="0048052C" w:rsidRDefault="006A340B">
            <w:pPr>
              <w:ind w:left="0"/>
              <w:rPr>
                <w:vertAlign w:val="subscript"/>
              </w:rPr>
            </w:pPr>
            <w:r>
              <w:t>NO + NO2</w:t>
            </w:r>
          </w:p>
        </w:tc>
        <w:tc>
          <w:tcPr>
            <w:tcW w:w="1260" w:type="dxa"/>
          </w:tcPr>
          <w:p w14:paraId="486D865A" w14:textId="4666E816" w:rsidR="006A340B" w:rsidRDefault="006A340B">
            <w:pPr>
              <w:ind w:left="0"/>
            </w:pPr>
            <w:r>
              <w:t>NTR</w:t>
            </w:r>
          </w:p>
        </w:tc>
        <w:tc>
          <w:tcPr>
            <w:tcW w:w="900" w:type="dxa"/>
          </w:tcPr>
          <w:p w14:paraId="2CC7FB3F" w14:textId="61F5E5CB" w:rsidR="006A340B" w:rsidRDefault="006A340B">
            <w:pPr>
              <w:ind w:left="0"/>
            </w:pPr>
            <w:r>
              <w:t>PAN + PANX + OPAN</w:t>
            </w:r>
          </w:p>
        </w:tc>
        <w:tc>
          <w:tcPr>
            <w:tcW w:w="4045" w:type="dxa"/>
          </w:tcPr>
          <w:p w14:paraId="0EFE5D7B" w14:textId="7BCF2302" w:rsidR="006A340B" w:rsidRPr="0048052C" w:rsidRDefault="006A340B">
            <w:pPr>
              <w:ind w:left="0"/>
              <w:rPr>
                <w:lang w:val="es-CL"/>
              </w:rPr>
            </w:pPr>
            <w:r w:rsidRPr="0048052C">
              <w:rPr>
                <w:lang w:val="es-CL"/>
              </w:rPr>
              <w:t>NO + NO2 + NO3 + 2</w:t>
            </w:r>
            <w:r w:rsidRPr="0048052C">
              <w:rPr>
                <w:rFonts w:cstheme="minorHAnsi"/>
                <w:lang w:val="es-CL"/>
              </w:rPr>
              <w:t>×</w:t>
            </w:r>
            <w:r w:rsidRPr="0048052C">
              <w:rPr>
                <w:lang w:val="es-CL"/>
              </w:rPr>
              <w:t>N2O5 + HONO + HNO3 + PAN + PANX + PNA +</w:t>
            </w:r>
            <w:r w:rsidR="00937DE1" w:rsidRPr="0048052C">
              <w:rPr>
                <w:lang w:val="es-CL"/>
              </w:rPr>
              <w:t xml:space="preserve"> OPAN +</w:t>
            </w:r>
            <w:r w:rsidRPr="0048052C">
              <w:rPr>
                <w:lang w:val="es-CL"/>
              </w:rPr>
              <w:t xml:space="preserve"> NTR + CRON + CRNO + CRN2 + CRPX</w:t>
            </w:r>
            <w:r w:rsidR="00937DE1" w:rsidRPr="0048052C">
              <w:rPr>
                <w:lang w:val="es-CL"/>
              </w:rPr>
              <w:t xml:space="preserve"> </w:t>
            </w:r>
            <w:r w:rsidRPr="0048052C">
              <w:rPr>
                <w:lang w:val="es-CL"/>
              </w:rPr>
              <w:t>+ ANO3I* + ANO3J* + ANO3K*</w:t>
            </w:r>
          </w:p>
        </w:tc>
      </w:tr>
      <w:tr w:rsidR="006A340B" w:rsidRPr="00DF7FC8" w14:paraId="394AFEBB" w14:textId="77777777" w:rsidTr="006A340B">
        <w:tc>
          <w:tcPr>
            <w:tcW w:w="1870" w:type="dxa"/>
          </w:tcPr>
          <w:p w14:paraId="09948123" w14:textId="181EA815" w:rsidR="006A340B" w:rsidRDefault="006A340B">
            <w:pPr>
              <w:ind w:left="0"/>
            </w:pPr>
            <w:r>
              <w:t>Modeled species: CB6</w:t>
            </w:r>
          </w:p>
        </w:tc>
        <w:tc>
          <w:tcPr>
            <w:tcW w:w="1275" w:type="dxa"/>
          </w:tcPr>
          <w:p w14:paraId="212ACFCB" w14:textId="625D980D" w:rsidR="006A340B" w:rsidRDefault="006A340B">
            <w:pPr>
              <w:ind w:left="0"/>
            </w:pPr>
            <w:r>
              <w:t>NO + NO2</w:t>
            </w:r>
          </w:p>
        </w:tc>
        <w:tc>
          <w:tcPr>
            <w:tcW w:w="1260" w:type="dxa"/>
          </w:tcPr>
          <w:p w14:paraId="02725B71" w14:textId="61D351A3" w:rsidR="006A340B" w:rsidRDefault="006A340B">
            <w:pPr>
              <w:ind w:left="0"/>
            </w:pPr>
            <w:r>
              <w:t>NTR1 + NTR2 + INTR</w:t>
            </w:r>
          </w:p>
        </w:tc>
        <w:tc>
          <w:tcPr>
            <w:tcW w:w="900" w:type="dxa"/>
          </w:tcPr>
          <w:p w14:paraId="782AB678" w14:textId="77F618D1" w:rsidR="006A340B" w:rsidRDefault="006A340B">
            <w:pPr>
              <w:ind w:left="0"/>
            </w:pPr>
            <w:r>
              <w:t>PAN + PANX + OPAN</w:t>
            </w:r>
          </w:p>
        </w:tc>
        <w:tc>
          <w:tcPr>
            <w:tcW w:w="4045" w:type="dxa"/>
          </w:tcPr>
          <w:p w14:paraId="19A7112F" w14:textId="4ED46787" w:rsidR="006A340B" w:rsidRPr="0048052C" w:rsidRDefault="006A340B" w:rsidP="006A340B">
            <w:pPr>
              <w:ind w:left="0"/>
              <w:rPr>
                <w:lang w:val="es-CL"/>
              </w:rPr>
            </w:pPr>
            <w:r w:rsidRPr="0048052C">
              <w:rPr>
                <w:lang w:val="es-CL"/>
              </w:rPr>
              <w:t>NO + NO2 + NO3 + 2</w:t>
            </w:r>
            <w:r w:rsidRPr="0048052C">
              <w:rPr>
                <w:rFonts w:cstheme="minorHAnsi"/>
                <w:lang w:val="es-CL"/>
              </w:rPr>
              <w:t>×</w:t>
            </w:r>
            <w:r w:rsidRPr="0048052C">
              <w:rPr>
                <w:lang w:val="es-CL"/>
              </w:rPr>
              <w:t xml:space="preserve">N2O5 + HONO + HNO3 + </w:t>
            </w:r>
            <w:r w:rsidR="0048742B" w:rsidRPr="0048052C">
              <w:rPr>
                <w:lang w:val="es-CL"/>
              </w:rPr>
              <w:t xml:space="preserve">PAN + </w:t>
            </w:r>
            <w:r w:rsidRPr="0048052C">
              <w:rPr>
                <w:lang w:val="es-CL"/>
              </w:rPr>
              <w:t xml:space="preserve">PNA </w:t>
            </w:r>
            <w:r w:rsidR="0048742B" w:rsidRPr="0048052C">
              <w:rPr>
                <w:lang w:val="es-CL"/>
              </w:rPr>
              <w:t>X</w:t>
            </w:r>
            <w:r w:rsidRPr="0048052C">
              <w:rPr>
                <w:lang w:val="es-CL"/>
              </w:rPr>
              <w:t>+ P</w:t>
            </w:r>
            <w:r w:rsidR="0048742B" w:rsidRPr="0048052C">
              <w:rPr>
                <w:lang w:val="es-CL"/>
              </w:rPr>
              <w:t>NA</w:t>
            </w:r>
            <w:r w:rsidRPr="0048052C">
              <w:rPr>
                <w:lang w:val="es-CL"/>
              </w:rPr>
              <w:t xml:space="preserve"> + OPAN </w:t>
            </w:r>
            <w:r w:rsidR="00937DE1" w:rsidRPr="0048052C">
              <w:rPr>
                <w:lang w:val="es-CL"/>
              </w:rPr>
              <w:t xml:space="preserve">+ NTR1 + NTR2 + INTR + CRON + CLNO2 </w:t>
            </w:r>
            <w:r w:rsidRPr="0048052C">
              <w:rPr>
                <w:lang w:val="es-CL"/>
              </w:rPr>
              <w:t xml:space="preserve">+ ANO3I* + ANO3J* + ANO3K*                              </w:t>
            </w:r>
          </w:p>
        </w:tc>
      </w:tr>
    </w:tbl>
    <w:p w14:paraId="2984C907" w14:textId="192F8752" w:rsidR="00AE5CC9" w:rsidRDefault="006A340B" w:rsidP="0048052C">
      <w:pPr>
        <w:ind w:left="0"/>
      </w:pPr>
      <w:r>
        <w:t xml:space="preserve">*aerosol-phase species converted from </w:t>
      </w:r>
      <w:r>
        <w:rPr>
          <w:rFonts w:cstheme="minorHAnsi"/>
        </w:rPr>
        <w:t>µ</w:t>
      </w:r>
      <w:r>
        <w:t>g/m</w:t>
      </w:r>
      <w:r>
        <w:rPr>
          <w:vertAlign w:val="superscript"/>
        </w:rPr>
        <w:t>3</w:t>
      </w:r>
      <w:r>
        <w:t xml:space="preserve"> to ppb for this calcu</w:t>
      </w:r>
      <w:r w:rsidR="00937DE1">
        <w:t>l</w:t>
      </w:r>
      <w:r>
        <w:t>ation</w:t>
      </w:r>
    </w:p>
    <w:p w14:paraId="4F670B56" w14:textId="77777777" w:rsidR="00AE5CC9" w:rsidRDefault="00AE5CC9">
      <w:pPr>
        <w:spacing w:line="259" w:lineRule="auto"/>
        <w:ind w:left="0"/>
      </w:pPr>
      <w:r>
        <w:br w:type="page"/>
      </w:r>
    </w:p>
    <w:p w14:paraId="1011A49E" w14:textId="461E4366" w:rsidR="00AE5CC9" w:rsidRDefault="00AE5CC9" w:rsidP="00AE5CC9">
      <w:pPr>
        <w:pStyle w:val="Heading2"/>
      </w:pPr>
      <w:r>
        <w:lastRenderedPageBreak/>
        <w:t>References Supplementary Material</w:t>
      </w:r>
    </w:p>
    <w:p w14:paraId="3EA5E501" w14:textId="547E46CD" w:rsidR="00227EE5" w:rsidRDefault="00AE5CC9" w:rsidP="00227EE5">
      <w:pPr>
        <w:widowControl w:val="0"/>
        <w:autoSpaceDE w:val="0"/>
        <w:autoSpaceDN w:val="0"/>
        <w:adjustRightInd w:val="0"/>
        <w:spacing w:after="0" w:line="240" w:lineRule="auto"/>
        <w:ind w:left="480" w:hanging="480"/>
        <w:rPr>
          <w:rFonts w:ascii="Calibri" w:hAnsi="Calibri" w:cs="Calibri"/>
          <w:noProof/>
          <w:szCs w:val="24"/>
        </w:rPr>
      </w:pPr>
      <w:r>
        <w:fldChar w:fldCharType="begin" w:fldLock="1"/>
      </w:r>
      <w:r>
        <w:instrText xml:space="preserve">ADDIN Mendeley Bibliography CSL_BIBLIOGRAPHY </w:instrText>
      </w:r>
      <w:r>
        <w:fldChar w:fldCharType="separate"/>
      </w:r>
      <w:r w:rsidR="00227EE5" w:rsidRPr="00227EE5">
        <w:rPr>
          <w:rFonts w:ascii="Calibri" w:hAnsi="Calibri" w:cs="Calibri"/>
          <w:noProof/>
          <w:szCs w:val="24"/>
        </w:rPr>
        <w:t xml:space="preserve">Anderson DC, Loughner CP, Diskin G, Weinheimer A, Canty TP, Salawitch RJ, Worden HM, Fried A, Mikoviny T, Wisthaler A, et al. 2014. Measured and modeled CO and NOy in DISCOVER-AQ: An evaluation of emissions and chemistry over the eastern US. </w:t>
      </w:r>
      <w:r w:rsidR="00227EE5" w:rsidRPr="00227EE5">
        <w:rPr>
          <w:rFonts w:ascii="Calibri" w:hAnsi="Calibri" w:cs="Calibri"/>
          <w:i/>
          <w:iCs/>
          <w:noProof/>
          <w:szCs w:val="24"/>
        </w:rPr>
        <w:t>Atmos Environ</w:t>
      </w:r>
      <w:r w:rsidR="00227EE5" w:rsidRPr="00227EE5">
        <w:rPr>
          <w:rFonts w:ascii="Calibri" w:hAnsi="Calibri" w:cs="Calibri"/>
          <w:noProof/>
          <w:szCs w:val="24"/>
        </w:rPr>
        <w:t xml:space="preserve"> </w:t>
      </w:r>
      <w:r w:rsidR="00227EE5" w:rsidRPr="00227EE5">
        <w:rPr>
          <w:rFonts w:ascii="Calibri" w:hAnsi="Calibri" w:cs="Calibri"/>
          <w:b/>
          <w:bCs/>
          <w:noProof/>
          <w:szCs w:val="24"/>
        </w:rPr>
        <w:t>96</w:t>
      </w:r>
      <w:r w:rsidR="00227EE5" w:rsidRPr="00227EE5">
        <w:rPr>
          <w:rFonts w:ascii="Calibri" w:hAnsi="Calibri" w:cs="Calibri"/>
          <w:noProof/>
          <w:szCs w:val="24"/>
        </w:rPr>
        <w:t>: 78–87. Elsevier Ltd. doi: 10.1016/j.atmosenv.2014.07.004</w:t>
      </w:r>
    </w:p>
    <w:p w14:paraId="0B6F0410" w14:textId="77777777" w:rsidR="00227EE5" w:rsidRP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p>
    <w:p w14:paraId="267C5B28" w14:textId="77777777" w:rsid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r w:rsidRPr="00227EE5">
        <w:rPr>
          <w:rFonts w:ascii="Calibri" w:hAnsi="Calibri" w:cs="Calibri"/>
          <w:noProof/>
          <w:szCs w:val="24"/>
        </w:rPr>
        <w:t>Federal Highway Administration. 2011. Vehicle Travel Information System (VTRIS). Available at https://fhwaapps.fhwa.dot.gov/vtris-wp/</w:t>
      </w:r>
    </w:p>
    <w:p w14:paraId="7D4F3E89" w14:textId="0AEAEF6D" w:rsidR="00227EE5" w:rsidRP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r w:rsidRPr="00227EE5">
        <w:rPr>
          <w:rFonts w:ascii="Calibri" w:hAnsi="Calibri" w:cs="Calibri"/>
          <w:noProof/>
          <w:szCs w:val="24"/>
        </w:rPr>
        <w:t xml:space="preserve"> </w:t>
      </w:r>
    </w:p>
    <w:p w14:paraId="641F128A" w14:textId="3E5878D9" w:rsid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r w:rsidRPr="00227EE5">
        <w:rPr>
          <w:rFonts w:ascii="Calibri" w:hAnsi="Calibri" w:cs="Calibri"/>
          <w:noProof/>
          <w:szCs w:val="24"/>
        </w:rPr>
        <w:t xml:space="preserve">Kang D, Foley KM, Mathur R, Roselle SJ, Pickering KE, Allen DJ. 2019. Simulating lightning NO production in CMAQv5.2:  performance evaluations. </w:t>
      </w:r>
      <w:r w:rsidRPr="00227EE5">
        <w:rPr>
          <w:rFonts w:ascii="Calibri" w:hAnsi="Calibri" w:cs="Calibri"/>
          <w:i/>
          <w:iCs/>
          <w:noProof/>
          <w:szCs w:val="24"/>
        </w:rPr>
        <w:t>Geosci Model Dev</w:t>
      </w:r>
      <w:r w:rsidRPr="00227EE5">
        <w:rPr>
          <w:rFonts w:ascii="Calibri" w:hAnsi="Calibri" w:cs="Calibri"/>
          <w:noProof/>
          <w:szCs w:val="24"/>
        </w:rPr>
        <w:t xml:space="preserve"> </w:t>
      </w:r>
      <w:r w:rsidRPr="00227EE5">
        <w:rPr>
          <w:rFonts w:ascii="Calibri" w:hAnsi="Calibri" w:cs="Calibri"/>
          <w:b/>
          <w:bCs/>
          <w:noProof/>
          <w:szCs w:val="24"/>
        </w:rPr>
        <w:t>12</w:t>
      </w:r>
      <w:r w:rsidRPr="00227EE5">
        <w:rPr>
          <w:rFonts w:ascii="Calibri" w:hAnsi="Calibri" w:cs="Calibri"/>
          <w:noProof/>
          <w:szCs w:val="24"/>
        </w:rPr>
        <w:t>(10): 4409–4424. Copernicus Publications. doi: 10.5194/gmd-12-4409-2019</w:t>
      </w:r>
    </w:p>
    <w:p w14:paraId="6320E85C" w14:textId="77777777" w:rsidR="00227EE5" w:rsidRP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p>
    <w:p w14:paraId="1717333E" w14:textId="3ADAB45A" w:rsid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r w:rsidRPr="00227EE5">
        <w:rPr>
          <w:rFonts w:ascii="Calibri" w:hAnsi="Calibri" w:cs="Calibri"/>
          <w:noProof/>
          <w:szCs w:val="24"/>
        </w:rPr>
        <w:t xml:space="preserve">Lee HJ, Chatfield RB, Bell ML. 2018. Spatial analysis of concentrations of multiple air pollutants using NASA DISCOVER-AQ aircraft measurements: Implications for exposure assessment. </w:t>
      </w:r>
      <w:r w:rsidRPr="00227EE5">
        <w:rPr>
          <w:rFonts w:ascii="Calibri" w:hAnsi="Calibri" w:cs="Calibri"/>
          <w:i/>
          <w:iCs/>
          <w:noProof/>
          <w:szCs w:val="24"/>
        </w:rPr>
        <w:t>Environ Res</w:t>
      </w:r>
      <w:r w:rsidRPr="00227EE5">
        <w:rPr>
          <w:rFonts w:ascii="Calibri" w:hAnsi="Calibri" w:cs="Calibri"/>
          <w:noProof/>
          <w:szCs w:val="24"/>
        </w:rPr>
        <w:t xml:space="preserve"> </w:t>
      </w:r>
      <w:r w:rsidRPr="00227EE5">
        <w:rPr>
          <w:rFonts w:ascii="Calibri" w:hAnsi="Calibri" w:cs="Calibri"/>
          <w:b/>
          <w:bCs/>
          <w:noProof/>
          <w:szCs w:val="24"/>
        </w:rPr>
        <w:t>160</w:t>
      </w:r>
      <w:r w:rsidRPr="00227EE5">
        <w:rPr>
          <w:rFonts w:ascii="Calibri" w:hAnsi="Calibri" w:cs="Calibri"/>
          <w:noProof/>
          <w:szCs w:val="24"/>
        </w:rPr>
        <w:t>: 487–498. doi: https://doi.org/10.1016/j.envres.2017.10.017</w:t>
      </w:r>
    </w:p>
    <w:p w14:paraId="7345BC8E" w14:textId="77777777" w:rsidR="00227EE5" w:rsidRP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p>
    <w:p w14:paraId="701595B5" w14:textId="5EF90B20" w:rsid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r w:rsidRPr="00227EE5">
        <w:rPr>
          <w:rFonts w:ascii="Calibri" w:hAnsi="Calibri" w:cs="Calibri"/>
          <w:noProof/>
          <w:szCs w:val="24"/>
        </w:rPr>
        <w:t xml:space="preserve">Reed AJ, Thompson AM, Kollonige DE, Martins DK, Tzortziou MA, Herman JR, Berkoff TA, Abuhassan NK, Cede A. 2015. Effects of local meteorology and aerosols on ozone and nitrogen dioxide retrievals from OMI and pandora spectrometers in Maryland, USA during DISCOVER-AQ 2011. </w:t>
      </w:r>
      <w:r w:rsidRPr="00227EE5">
        <w:rPr>
          <w:rFonts w:ascii="Calibri" w:hAnsi="Calibri" w:cs="Calibri"/>
          <w:i/>
          <w:iCs/>
          <w:noProof/>
          <w:szCs w:val="24"/>
        </w:rPr>
        <w:t>J Atmos Chem</w:t>
      </w:r>
      <w:r w:rsidRPr="00227EE5">
        <w:rPr>
          <w:rFonts w:ascii="Calibri" w:hAnsi="Calibri" w:cs="Calibri"/>
          <w:noProof/>
          <w:szCs w:val="24"/>
        </w:rPr>
        <w:t xml:space="preserve"> </w:t>
      </w:r>
      <w:r w:rsidRPr="00227EE5">
        <w:rPr>
          <w:rFonts w:ascii="Calibri" w:hAnsi="Calibri" w:cs="Calibri"/>
          <w:b/>
          <w:bCs/>
          <w:noProof/>
          <w:szCs w:val="24"/>
        </w:rPr>
        <w:t>72</w:t>
      </w:r>
      <w:r w:rsidRPr="00227EE5">
        <w:rPr>
          <w:rFonts w:ascii="Calibri" w:hAnsi="Calibri" w:cs="Calibri"/>
          <w:noProof/>
          <w:szCs w:val="24"/>
        </w:rPr>
        <w:t>(3): 455–482. doi: 10.1007/s10874-013-9254-9</w:t>
      </w:r>
    </w:p>
    <w:p w14:paraId="132CA152" w14:textId="77777777" w:rsidR="00227EE5" w:rsidRP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p>
    <w:p w14:paraId="071D25D6" w14:textId="4A692A12" w:rsid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r w:rsidRPr="00227EE5">
        <w:rPr>
          <w:rFonts w:ascii="Calibri" w:hAnsi="Calibri" w:cs="Calibri"/>
          <w:noProof/>
          <w:szCs w:val="24"/>
        </w:rPr>
        <w:t xml:space="preserve">Simon H, Valin LC, Baker KR, Henderson BH, Crawford JH, Pusede SE, Kelly JT, Foley KM, Owen RC, Cohen RC, et al. 2018. Characterizing CO and NOy Sources and Relative Ambient Ratios in the Baltimore Area Using Ambient Measurements and Source Attribution Modeling. </w:t>
      </w:r>
      <w:r w:rsidRPr="00227EE5">
        <w:rPr>
          <w:rFonts w:ascii="Calibri" w:hAnsi="Calibri" w:cs="Calibri"/>
          <w:i/>
          <w:iCs/>
          <w:noProof/>
          <w:szCs w:val="24"/>
        </w:rPr>
        <w:t>J Geophys Res  Atmos</w:t>
      </w:r>
      <w:r w:rsidRPr="00227EE5">
        <w:rPr>
          <w:rFonts w:ascii="Calibri" w:hAnsi="Calibri" w:cs="Calibri"/>
          <w:noProof/>
          <w:szCs w:val="24"/>
        </w:rPr>
        <w:t xml:space="preserve"> </w:t>
      </w:r>
      <w:r w:rsidRPr="00227EE5">
        <w:rPr>
          <w:rFonts w:ascii="Calibri" w:hAnsi="Calibri" w:cs="Calibri"/>
          <w:b/>
          <w:bCs/>
          <w:noProof/>
          <w:szCs w:val="24"/>
        </w:rPr>
        <w:t>123</w:t>
      </w:r>
      <w:r w:rsidRPr="00227EE5">
        <w:rPr>
          <w:rFonts w:ascii="Calibri" w:hAnsi="Calibri" w:cs="Calibri"/>
          <w:noProof/>
          <w:szCs w:val="24"/>
        </w:rPr>
        <w:t>: 3304–3320. doi: 10.1002/2017JD027688</w:t>
      </w:r>
    </w:p>
    <w:p w14:paraId="3F7FE169" w14:textId="77777777" w:rsidR="00227EE5" w:rsidRP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p>
    <w:p w14:paraId="04413792" w14:textId="0CC52B9B" w:rsid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r w:rsidRPr="00227EE5">
        <w:rPr>
          <w:rFonts w:ascii="Calibri" w:hAnsi="Calibri" w:cs="Calibri"/>
          <w:noProof/>
          <w:szCs w:val="24"/>
        </w:rPr>
        <w:t xml:space="preserve">U.S. Environmental Protection Agency. 2016. Technical Support Document (TSD): Preparation of Emissions Inventories for the Version 6.3, 2011 Emissions Modeling Platform. Available at https://www.epa.gov/sites/production/files/2016-09/documents/2011v6_3_2017_emismod_tsd_aug2016_final.pdf. </w:t>
      </w:r>
    </w:p>
    <w:p w14:paraId="03268E96" w14:textId="77777777" w:rsidR="00227EE5" w:rsidRPr="00227EE5" w:rsidRDefault="00227EE5" w:rsidP="00227EE5">
      <w:pPr>
        <w:widowControl w:val="0"/>
        <w:autoSpaceDE w:val="0"/>
        <w:autoSpaceDN w:val="0"/>
        <w:adjustRightInd w:val="0"/>
        <w:spacing w:after="0" w:line="240" w:lineRule="auto"/>
        <w:ind w:left="480" w:hanging="480"/>
        <w:rPr>
          <w:rFonts w:ascii="Calibri" w:hAnsi="Calibri" w:cs="Calibri"/>
          <w:noProof/>
          <w:szCs w:val="24"/>
        </w:rPr>
      </w:pPr>
    </w:p>
    <w:p w14:paraId="54FD91B0" w14:textId="77777777" w:rsidR="00227EE5" w:rsidRPr="00227EE5" w:rsidRDefault="00227EE5" w:rsidP="00227EE5">
      <w:pPr>
        <w:widowControl w:val="0"/>
        <w:autoSpaceDE w:val="0"/>
        <w:autoSpaceDN w:val="0"/>
        <w:adjustRightInd w:val="0"/>
        <w:spacing w:after="0" w:line="240" w:lineRule="auto"/>
        <w:ind w:left="480" w:hanging="480"/>
        <w:rPr>
          <w:rFonts w:ascii="Calibri" w:hAnsi="Calibri" w:cs="Calibri"/>
          <w:noProof/>
        </w:rPr>
      </w:pPr>
      <w:r w:rsidRPr="00227EE5">
        <w:rPr>
          <w:rFonts w:ascii="Calibri" w:hAnsi="Calibri" w:cs="Calibri"/>
          <w:noProof/>
          <w:szCs w:val="24"/>
        </w:rPr>
        <w:t xml:space="preserve">Zhang Y, Wang Y, Chen G, Smeltzer C, Crawford J, Olson J, Szykman J, Weinheimer AJ, Knapp DJ, Montzka DD, et al. 2016. Large vertical gradient of reactive nitrogen oxides in the boundary layer: Modeling analysis of DISCOVER-AQ 2011 observations. </w:t>
      </w:r>
      <w:r w:rsidRPr="00227EE5">
        <w:rPr>
          <w:rFonts w:ascii="Calibri" w:hAnsi="Calibri" w:cs="Calibri"/>
          <w:i/>
          <w:iCs/>
          <w:noProof/>
          <w:szCs w:val="24"/>
        </w:rPr>
        <w:t>J Geophys Res Atmos</w:t>
      </w:r>
      <w:r w:rsidRPr="00227EE5">
        <w:rPr>
          <w:rFonts w:ascii="Calibri" w:hAnsi="Calibri" w:cs="Calibri"/>
          <w:noProof/>
          <w:szCs w:val="24"/>
        </w:rPr>
        <w:t xml:space="preserve"> </w:t>
      </w:r>
      <w:r w:rsidRPr="00227EE5">
        <w:rPr>
          <w:rFonts w:ascii="Calibri" w:hAnsi="Calibri" w:cs="Calibri"/>
          <w:b/>
          <w:bCs/>
          <w:noProof/>
          <w:szCs w:val="24"/>
        </w:rPr>
        <w:t>121</w:t>
      </w:r>
      <w:r w:rsidRPr="00227EE5">
        <w:rPr>
          <w:rFonts w:ascii="Calibri" w:hAnsi="Calibri" w:cs="Calibri"/>
          <w:noProof/>
          <w:szCs w:val="24"/>
        </w:rPr>
        <w:t>(4): 1922–1934. John Wiley &amp; Sons, Ltd. doi: 10.1002/2015JD024203</w:t>
      </w:r>
    </w:p>
    <w:p w14:paraId="47BF83C9" w14:textId="4C514847" w:rsidR="009753E1" w:rsidRPr="006A340B" w:rsidRDefault="00AE5CC9" w:rsidP="00AE5CC9">
      <w:pPr>
        <w:pStyle w:val="NoSpacing"/>
      </w:pPr>
      <w:r>
        <w:fldChar w:fldCharType="end"/>
      </w:r>
    </w:p>
    <w:sectPr w:rsidR="009753E1" w:rsidRPr="006A340B" w:rsidSect="008A08B8">
      <w:footerReference w:type="default" r:id="rId5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DD8BB6" w14:textId="77777777" w:rsidR="00561AE7" w:rsidRDefault="00561AE7">
      <w:pPr>
        <w:spacing w:after="0" w:line="240" w:lineRule="auto"/>
      </w:pPr>
      <w:r>
        <w:separator/>
      </w:r>
    </w:p>
  </w:endnote>
  <w:endnote w:type="continuationSeparator" w:id="0">
    <w:p w14:paraId="2DB365E2" w14:textId="77777777" w:rsidR="00561AE7" w:rsidRDefault="00561A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AEF" w:usb1="C0007841" w:usb2="00000009" w:usb3="00000000" w:csb0="000001FF" w:csb1="00000000"/>
  </w:font>
  <w:font w:name="Helvetica Neue">
    <w:panose1 w:val="02000503000000020004"/>
    <w:charset w:val="00"/>
    <w:family w:val="swiss"/>
    <w:pitch w:val="variable"/>
    <w:sig w:usb0="E50002FF" w:usb1="500079DB" w:usb2="00000010" w:usb3="00000000" w:csb0="00000001" w:csb1="00000000"/>
  </w:font>
  <w:font w:name="Arial Unicode MS">
    <w:panose1 w:val="020B0604020202020204"/>
    <w:charset w:val="00"/>
    <w:family w:val="swiss"/>
    <w:pitch w:val="variable"/>
    <w:sig w:usb0="F7FFAFFF" w:usb1="E9DFFFFF" w:usb2="0000003F" w:usb3="00000000" w:csb0="003F01FF" w:csb1="00000000"/>
  </w:font>
  <w:font w:name="Segoe UI">
    <w:altName w:val="Calibri"/>
    <w:charset w:val="00"/>
    <w:family w:val="swiss"/>
    <w:pitch w:val="variable"/>
    <w:sig w:usb0="E4002EFF" w:usb1="C000E47F" w:usb2="00000009" w:usb3="00000000" w:csb0="000001FF" w:csb1="00000000"/>
  </w:font>
  <w:font w:name="Times">
    <w:panose1 w:val="02000500000000000000"/>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2398295"/>
      <w:docPartObj>
        <w:docPartGallery w:val="Page Numbers (Bottom of Page)"/>
        <w:docPartUnique/>
      </w:docPartObj>
    </w:sdtPr>
    <w:sdtEndPr>
      <w:rPr>
        <w:noProof/>
      </w:rPr>
    </w:sdtEndPr>
    <w:sdtContent>
      <w:p w14:paraId="19DF3B1B" w14:textId="77777777" w:rsidR="00F30196" w:rsidRDefault="00F30196">
        <w:pPr>
          <w:pStyle w:val="Footer"/>
          <w:jc w:val="center"/>
        </w:pPr>
        <w:r>
          <w:fldChar w:fldCharType="begin"/>
        </w:r>
        <w:r>
          <w:instrText xml:space="preserve"> PAGE   \* MERGEFORMAT </w:instrText>
        </w:r>
        <w:r>
          <w:fldChar w:fldCharType="separate"/>
        </w:r>
        <w:r w:rsidR="00FF18E0">
          <w:rPr>
            <w:noProof/>
          </w:rPr>
          <w:t>37</w:t>
        </w:r>
        <w:r>
          <w:rPr>
            <w:noProof/>
          </w:rPr>
          <w:fldChar w:fldCharType="end"/>
        </w:r>
      </w:p>
    </w:sdtContent>
  </w:sdt>
  <w:p w14:paraId="23EB36D4" w14:textId="77777777" w:rsidR="00F30196" w:rsidRDefault="00F30196">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9AC0E0" w14:textId="77777777" w:rsidR="00561AE7" w:rsidRDefault="00561AE7">
      <w:pPr>
        <w:spacing w:after="0" w:line="240" w:lineRule="auto"/>
      </w:pPr>
      <w:r>
        <w:separator/>
      </w:r>
    </w:p>
  </w:footnote>
  <w:footnote w:type="continuationSeparator" w:id="0">
    <w:p w14:paraId="28DADA38" w14:textId="77777777" w:rsidR="00561AE7" w:rsidRDefault="00561AE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7"/>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261F"/>
    <w:rsid w:val="00053C0B"/>
    <w:rsid w:val="00074221"/>
    <w:rsid w:val="000A693D"/>
    <w:rsid w:val="000C14F0"/>
    <w:rsid w:val="001500B0"/>
    <w:rsid w:val="001535AB"/>
    <w:rsid w:val="0017668A"/>
    <w:rsid w:val="0018487B"/>
    <w:rsid w:val="00184DE8"/>
    <w:rsid w:val="00227EE5"/>
    <w:rsid w:val="00247A66"/>
    <w:rsid w:val="00274A2D"/>
    <w:rsid w:val="002A68B0"/>
    <w:rsid w:val="002C396C"/>
    <w:rsid w:val="002F3E4D"/>
    <w:rsid w:val="00312E6A"/>
    <w:rsid w:val="00326FE1"/>
    <w:rsid w:val="00342ECE"/>
    <w:rsid w:val="003548AC"/>
    <w:rsid w:val="00357B89"/>
    <w:rsid w:val="00374A0A"/>
    <w:rsid w:val="00380AFF"/>
    <w:rsid w:val="00390379"/>
    <w:rsid w:val="00466DBA"/>
    <w:rsid w:val="00472EA9"/>
    <w:rsid w:val="00473FA2"/>
    <w:rsid w:val="0048052C"/>
    <w:rsid w:val="0048742B"/>
    <w:rsid w:val="0048755E"/>
    <w:rsid w:val="004964B6"/>
    <w:rsid w:val="004B2ECE"/>
    <w:rsid w:val="00561AE7"/>
    <w:rsid w:val="005D0B01"/>
    <w:rsid w:val="00626EDC"/>
    <w:rsid w:val="006509FA"/>
    <w:rsid w:val="00664E00"/>
    <w:rsid w:val="00683A65"/>
    <w:rsid w:val="006A340B"/>
    <w:rsid w:val="006E1809"/>
    <w:rsid w:val="00726FBB"/>
    <w:rsid w:val="00734D1C"/>
    <w:rsid w:val="0075217F"/>
    <w:rsid w:val="00773893"/>
    <w:rsid w:val="007E4CBB"/>
    <w:rsid w:val="008639C3"/>
    <w:rsid w:val="008A08B8"/>
    <w:rsid w:val="008F35E3"/>
    <w:rsid w:val="008F4C2F"/>
    <w:rsid w:val="00937DE1"/>
    <w:rsid w:val="0095697A"/>
    <w:rsid w:val="00974DE7"/>
    <w:rsid w:val="009753E1"/>
    <w:rsid w:val="009A6BCD"/>
    <w:rsid w:val="009BAC3A"/>
    <w:rsid w:val="009D21A6"/>
    <w:rsid w:val="00A348E8"/>
    <w:rsid w:val="00A85C66"/>
    <w:rsid w:val="00AD60C0"/>
    <w:rsid w:val="00AE5CC9"/>
    <w:rsid w:val="00AF6261"/>
    <w:rsid w:val="00B11622"/>
    <w:rsid w:val="00B4390F"/>
    <w:rsid w:val="00B50C00"/>
    <w:rsid w:val="00B71A50"/>
    <w:rsid w:val="00B71F9B"/>
    <w:rsid w:val="00BB66DA"/>
    <w:rsid w:val="00BF17BF"/>
    <w:rsid w:val="00D14688"/>
    <w:rsid w:val="00D41819"/>
    <w:rsid w:val="00D74708"/>
    <w:rsid w:val="00DF056E"/>
    <w:rsid w:val="00DF7FC8"/>
    <w:rsid w:val="00E1261F"/>
    <w:rsid w:val="00E12CF8"/>
    <w:rsid w:val="00E46898"/>
    <w:rsid w:val="00E81378"/>
    <w:rsid w:val="00E843FD"/>
    <w:rsid w:val="00E87D41"/>
    <w:rsid w:val="00F30196"/>
    <w:rsid w:val="00F36555"/>
    <w:rsid w:val="00F37C35"/>
    <w:rsid w:val="00F777F9"/>
    <w:rsid w:val="00F9807D"/>
    <w:rsid w:val="00FF18E0"/>
    <w:rsid w:val="0119555F"/>
    <w:rsid w:val="018AC2FA"/>
    <w:rsid w:val="01B3BE40"/>
    <w:rsid w:val="0256E8EE"/>
    <w:rsid w:val="028738DA"/>
    <w:rsid w:val="0297F4BA"/>
    <w:rsid w:val="02ACF12C"/>
    <w:rsid w:val="036B70C9"/>
    <w:rsid w:val="03C299DA"/>
    <w:rsid w:val="0475AF7A"/>
    <w:rsid w:val="04D8CD14"/>
    <w:rsid w:val="050D52A6"/>
    <w:rsid w:val="0523BDF0"/>
    <w:rsid w:val="058E89B0"/>
    <w:rsid w:val="05907B74"/>
    <w:rsid w:val="063593BE"/>
    <w:rsid w:val="065F2EED"/>
    <w:rsid w:val="06B79C55"/>
    <w:rsid w:val="06B9377B"/>
    <w:rsid w:val="06BA37E4"/>
    <w:rsid w:val="0727A76A"/>
    <w:rsid w:val="0781CFB5"/>
    <w:rsid w:val="07ECB75B"/>
    <w:rsid w:val="08C6EDC0"/>
    <w:rsid w:val="08F7AE3A"/>
    <w:rsid w:val="099B10F0"/>
    <w:rsid w:val="0A8AF006"/>
    <w:rsid w:val="0A92EC28"/>
    <w:rsid w:val="0AD8B4A1"/>
    <w:rsid w:val="0B1D5D89"/>
    <w:rsid w:val="0B579A27"/>
    <w:rsid w:val="0B8105FD"/>
    <w:rsid w:val="0BA48AF9"/>
    <w:rsid w:val="0C1A3F74"/>
    <w:rsid w:val="0CF312C1"/>
    <w:rsid w:val="0D15163B"/>
    <w:rsid w:val="0D47CF56"/>
    <w:rsid w:val="0D9A2AC9"/>
    <w:rsid w:val="0F459D0D"/>
    <w:rsid w:val="0F60E44E"/>
    <w:rsid w:val="0FB049A2"/>
    <w:rsid w:val="0FF90AF5"/>
    <w:rsid w:val="1027D951"/>
    <w:rsid w:val="11150456"/>
    <w:rsid w:val="112941C3"/>
    <w:rsid w:val="1192EE60"/>
    <w:rsid w:val="11F15914"/>
    <w:rsid w:val="11F5BEE7"/>
    <w:rsid w:val="12761B6B"/>
    <w:rsid w:val="129A328C"/>
    <w:rsid w:val="12B4A975"/>
    <w:rsid w:val="12FAEE69"/>
    <w:rsid w:val="137E24CB"/>
    <w:rsid w:val="138D2975"/>
    <w:rsid w:val="13C67937"/>
    <w:rsid w:val="147A5D29"/>
    <w:rsid w:val="14CB20CF"/>
    <w:rsid w:val="14E2F944"/>
    <w:rsid w:val="14E377AF"/>
    <w:rsid w:val="14F82A58"/>
    <w:rsid w:val="1519C835"/>
    <w:rsid w:val="1519F52C"/>
    <w:rsid w:val="1540680B"/>
    <w:rsid w:val="159892A8"/>
    <w:rsid w:val="15BCCFCD"/>
    <w:rsid w:val="16809230"/>
    <w:rsid w:val="16CB623C"/>
    <w:rsid w:val="16E31C98"/>
    <w:rsid w:val="18B86DDF"/>
    <w:rsid w:val="193BDE4D"/>
    <w:rsid w:val="195EEA2F"/>
    <w:rsid w:val="1A244D13"/>
    <w:rsid w:val="1A5DF2E0"/>
    <w:rsid w:val="1A8643CD"/>
    <w:rsid w:val="1B4B8B82"/>
    <w:rsid w:val="1B6A7FCF"/>
    <w:rsid w:val="1B6AF10D"/>
    <w:rsid w:val="1BF9C341"/>
    <w:rsid w:val="1C60DC94"/>
    <w:rsid w:val="1C775B7C"/>
    <w:rsid w:val="1CCF7D9C"/>
    <w:rsid w:val="1D608C17"/>
    <w:rsid w:val="1D82BD67"/>
    <w:rsid w:val="1E1DB472"/>
    <w:rsid w:val="1E619770"/>
    <w:rsid w:val="1EE7E713"/>
    <w:rsid w:val="1EED09E1"/>
    <w:rsid w:val="1F7E1CE8"/>
    <w:rsid w:val="1FB31B3B"/>
    <w:rsid w:val="20262A56"/>
    <w:rsid w:val="2099AE2E"/>
    <w:rsid w:val="209E7209"/>
    <w:rsid w:val="20E091E8"/>
    <w:rsid w:val="20E9ED0C"/>
    <w:rsid w:val="21192D76"/>
    <w:rsid w:val="215069FF"/>
    <w:rsid w:val="21A8D25A"/>
    <w:rsid w:val="22137D38"/>
    <w:rsid w:val="22B236BD"/>
    <w:rsid w:val="22B532CB"/>
    <w:rsid w:val="2302F98B"/>
    <w:rsid w:val="23348F93"/>
    <w:rsid w:val="236061BA"/>
    <w:rsid w:val="2455E0CC"/>
    <w:rsid w:val="2457DFBE"/>
    <w:rsid w:val="25394435"/>
    <w:rsid w:val="264BDE9D"/>
    <w:rsid w:val="265E17AD"/>
    <w:rsid w:val="2704BEB0"/>
    <w:rsid w:val="270E9FB8"/>
    <w:rsid w:val="27105406"/>
    <w:rsid w:val="277146D5"/>
    <w:rsid w:val="27D58168"/>
    <w:rsid w:val="297F1352"/>
    <w:rsid w:val="2B16E5CF"/>
    <w:rsid w:val="2B59A508"/>
    <w:rsid w:val="2BA62DC8"/>
    <w:rsid w:val="2C150905"/>
    <w:rsid w:val="2C49C946"/>
    <w:rsid w:val="2C780B9E"/>
    <w:rsid w:val="2D928F0F"/>
    <w:rsid w:val="2DF66DD6"/>
    <w:rsid w:val="2DFBAA5C"/>
    <w:rsid w:val="2E416DD4"/>
    <w:rsid w:val="2E697311"/>
    <w:rsid w:val="2EABBC2D"/>
    <w:rsid w:val="2FC53207"/>
    <w:rsid w:val="2FD54C7E"/>
    <w:rsid w:val="3076275C"/>
    <w:rsid w:val="30CA5937"/>
    <w:rsid w:val="30E4E140"/>
    <w:rsid w:val="3116E8B6"/>
    <w:rsid w:val="324B8153"/>
    <w:rsid w:val="327A9501"/>
    <w:rsid w:val="368CADAF"/>
    <w:rsid w:val="36C2F894"/>
    <w:rsid w:val="36C9B2A4"/>
    <w:rsid w:val="375CB45D"/>
    <w:rsid w:val="378E7C12"/>
    <w:rsid w:val="37E5BC08"/>
    <w:rsid w:val="38064E4D"/>
    <w:rsid w:val="380AFE05"/>
    <w:rsid w:val="383CCF9D"/>
    <w:rsid w:val="38482523"/>
    <w:rsid w:val="38CACCD6"/>
    <w:rsid w:val="3935BBA1"/>
    <w:rsid w:val="394E02A5"/>
    <w:rsid w:val="39592EE7"/>
    <w:rsid w:val="39CEFBAE"/>
    <w:rsid w:val="3A5F5B9B"/>
    <w:rsid w:val="3A5FD740"/>
    <w:rsid w:val="3C224730"/>
    <w:rsid w:val="3CA6CCB3"/>
    <w:rsid w:val="3CACA15A"/>
    <w:rsid w:val="3CDA924B"/>
    <w:rsid w:val="3CFCDC51"/>
    <w:rsid w:val="3DAB9B22"/>
    <w:rsid w:val="3E666E81"/>
    <w:rsid w:val="3F3AE1F9"/>
    <w:rsid w:val="3F8E6D58"/>
    <w:rsid w:val="3F941038"/>
    <w:rsid w:val="418235E7"/>
    <w:rsid w:val="41D4168E"/>
    <w:rsid w:val="4201484E"/>
    <w:rsid w:val="423DF6D3"/>
    <w:rsid w:val="424C3B66"/>
    <w:rsid w:val="4250E9BE"/>
    <w:rsid w:val="42E97D5B"/>
    <w:rsid w:val="43704216"/>
    <w:rsid w:val="43B4B227"/>
    <w:rsid w:val="43BB2697"/>
    <w:rsid w:val="43C2B31A"/>
    <w:rsid w:val="4403AD4A"/>
    <w:rsid w:val="44925B70"/>
    <w:rsid w:val="44F06A26"/>
    <w:rsid w:val="455D1EBA"/>
    <w:rsid w:val="45861E23"/>
    <w:rsid w:val="45FD931E"/>
    <w:rsid w:val="46007DA3"/>
    <w:rsid w:val="46425DBD"/>
    <w:rsid w:val="46B54865"/>
    <w:rsid w:val="47BB5093"/>
    <w:rsid w:val="47C573DC"/>
    <w:rsid w:val="47DE95E2"/>
    <w:rsid w:val="491DEF9E"/>
    <w:rsid w:val="497028A7"/>
    <w:rsid w:val="498264C0"/>
    <w:rsid w:val="498A259D"/>
    <w:rsid w:val="49AF7E46"/>
    <w:rsid w:val="49C38321"/>
    <w:rsid w:val="4A1907D6"/>
    <w:rsid w:val="4A8DB122"/>
    <w:rsid w:val="4A9EC9DB"/>
    <w:rsid w:val="4AAD749C"/>
    <w:rsid w:val="4B636C4A"/>
    <w:rsid w:val="4B6ED32E"/>
    <w:rsid w:val="4BAC1DE7"/>
    <w:rsid w:val="4BB4DD5D"/>
    <w:rsid w:val="4BD9F857"/>
    <w:rsid w:val="4BEF9528"/>
    <w:rsid w:val="4CE2E294"/>
    <w:rsid w:val="4CEB5334"/>
    <w:rsid w:val="4DBC6112"/>
    <w:rsid w:val="4E2251F8"/>
    <w:rsid w:val="4E721203"/>
    <w:rsid w:val="4EC3F281"/>
    <w:rsid w:val="4EC7CB7D"/>
    <w:rsid w:val="4EEB4464"/>
    <w:rsid w:val="4F5059AD"/>
    <w:rsid w:val="4F9B3F89"/>
    <w:rsid w:val="4FA3DF94"/>
    <w:rsid w:val="4FA78AAD"/>
    <w:rsid w:val="50487990"/>
    <w:rsid w:val="50612313"/>
    <w:rsid w:val="50A0D321"/>
    <w:rsid w:val="51330F51"/>
    <w:rsid w:val="516872F0"/>
    <w:rsid w:val="517A3170"/>
    <w:rsid w:val="51903245"/>
    <w:rsid w:val="51926448"/>
    <w:rsid w:val="51CF3D1C"/>
    <w:rsid w:val="51E6FF85"/>
    <w:rsid w:val="51FF5CC1"/>
    <w:rsid w:val="52092B4B"/>
    <w:rsid w:val="525ED6AC"/>
    <w:rsid w:val="52645B25"/>
    <w:rsid w:val="526B3A8D"/>
    <w:rsid w:val="52D316DF"/>
    <w:rsid w:val="52DB8056"/>
    <w:rsid w:val="52DE93F7"/>
    <w:rsid w:val="52E86020"/>
    <w:rsid w:val="52FEB993"/>
    <w:rsid w:val="537D3545"/>
    <w:rsid w:val="538A1CB7"/>
    <w:rsid w:val="53DFE6A8"/>
    <w:rsid w:val="54EE786A"/>
    <w:rsid w:val="5503B7A9"/>
    <w:rsid w:val="55772EBA"/>
    <w:rsid w:val="55CC32E6"/>
    <w:rsid w:val="55EC405F"/>
    <w:rsid w:val="560F4F93"/>
    <w:rsid w:val="562108F8"/>
    <w:rsid w:val="56B2CCE2"/>
    <w:rsid w:val="56C6F991"/>
    <w:rsid w:val="575C8C60"/>
    <w:rsid w:val="57CA82FC"/>
    <w:rsid w:val="57DA6AE2"/>
    <w:rsid w:val="586F90FB"/>
    <w:rsid w:val="58A53161"/>
    <w:rsid w:val="58E75051"/>
    <w:rsid w:val="59354496"/>
    <w:rsid w:val="5973D50E"/>
    <w:rsid w:val="599B1268"/>
    <w:rsid w:val="5A016EE9"/>
    <w:rsid w:val="5A19F25B"/>
    <w:rsid w:val="5B01CCEC"/>
    <w:rsid w:val="5B65F658"/>
    <w:rsid w:val="5B6D4A84"/>
    <w:rsid w:val="5BDBD75C"/>
    <w:rsid w:val="5C18B4D8"/>
    <w:rsid w:val="5D1C9F58"/>
    <w:rsid w:val="5D645679"/>
    <w:rsid w:val="5D96514C"/>
    <w:rsid w:val="5DA4D295"/>
    <w:rsid w:val="5DB19635"/>
    <w:rsid w:val="5DBD98A7"/>
    <w:rsid w:val="5E4C7DB8"/>
    <w:rsid w:val="5E7E2242"/>
    <w:rsid w:val="5F46BD91"/>
    <w:rsid w:val="5F7856E8"/>
    <w:rsid w:val="5F921D1F"/>
    <w:rsid w:val="60117E2A"/>
    <w:rsid w:val="6033084B"/>
    <w:rsid w:val="6065A20D"/>
    <w:rsid w:val="620293C9"/>
    <w:rsid w:val="6224F1D0"/>
    <w:rsid w:val="62B85CC5"/>
    <w:rsid w:val="62BA52E9"/>
    <w:rsid w:val="63AD220C"/>
    <w:rsid w:val="63BA35A8"/>
    <w:rsid w:val="63D7AC91"/>
    <w:rsid w:val="64388BC1"/>
    <w:rsid w:val="64D1B113"/>
    <w:rsid w:val="64D3A13A"/>
    <w:rsid w:val="64E1F186"/>
    <w:rsid w:val="6546708D"/>
    <w:rsid w:val="6553E42E"/>
    <w:rsid w:val="65596856"/>
    <w:rsid w:val="656A8C0C"/>
    <w:rsid w:val="662348A2"/>
    <w:rsid w:val="66396B59"/>
    <w:rsid w:val="665F94FD"/>
    <w:rsid w:val="66881DE7"/>
    <w:rsid w:val="66A103A5"/>
    <w:rsid w:val="66B45105"/>
    <w:rsid w:val="670BB697"/>
    <w:rsid w:val="67233E71"/>
    <w:rsid w:val="67293A08"/>
    <w:rsid w:val="6742CF59"/>
    <w:rsid w:val="67728F62"/>
    <w:rsid w:val="67D6E4D5"/>
    <w:rsid w:val="67E2F77D"/>
    <w:rsid w:val="67EBA211"/>
    <w:rsid w:val="68EB60E8"/>
    <w:rsid w:val="691E0637"/>
    <w:rsid w:val="6930F752"/>
    <w:rsid w:val="69DCDBF3"/>
    <w:rsid w:val="6A82F352"/>
    <w:rsid w:val="6B0E6BBC"/>
    <w:rsid w:val="6C084328"/>
    <w:rsid w:val="6C79910D"/>
    <w:rsid w:val="6C9B8DC4"/>
    <w:rsid w:val="6CDA64C8"/>
    <w:rsid w:val="6DC618D3"/>
    <w:rsid w:val="6E59BEE1"/>
    <w:rsid w:val="6EA2BE68"/>
    <w:rsid w:val="6F3D643C"/>
    <w:rsid w:val="6FD2361E"/>
    <w:rsid w:val="6FD3CA4E"/>
    <w:rsid w:val="70705AA6"/>
    <w:rsid w:val="70917709"/>
    <w:rsid w:val="71795BFA"/>
    <w:rsid w:val="717E22D4"/>
    <w:rsid w:val="71B57680"/>
    <w:rsid w:val="71CA8D43"/>
    <w:rsid w:val="7298902D"/>
    <w:rsid w:val="72C54993"/>
    <w:rsid w:val="73818688"/>
    <w:rsid w:val="73A1B277"/>
    <w:rsid w:val="73CC292A"/>
    <w:rsid w:val="742506FC"/>
    <w:rsid w:val="746DB5FD"/>
    <w:rsid w:val="74A18490"/>
    <w:rsid w:val="752BC6C4"/>
    <w:rsid w:val="75849DCE"/>
    <w:rsid w:val="75A7BA5D"/>
    <w:rsid w:val="75FB5F33"/>
    <w:rsid w:val="76628204"/>
    <w:rsid w:val="76C77D61"/>
    <w:rsid w:val="76EC0301"/>
    <w:rsid w:val="78090F56"/>
    <w:rsid w:val="780B61EA"/>
    <w:rsid w:val="783D01C3"/>
    <w:rsid w:val="785D1837"/>
    <w:rsid w:val="78704285"/>
    <w:rsid w:val="7887B5F2"/>
    <w:rsid w:val="79CADCEC"/>
    <w:rsid w:val="7A87B181"/>
    <w:rsid w:val="7AD77C21"/>
    <w:rsid w:val="7B17182D"/>
    <w:rsid w:val="7B8A1E9F"/>
    <w:rsid w:val="7BA510B6"/>
    <w:rsid w:val="7BF73BED"/>
    <w:rsid w:val="7C8E69A8"/>
    <w:rsid w:val="7D0D4885"/>
    <w:rsid w:val="7D22454D"/>
    <w:rsid w:val="7D475EDF"/>
    <w:rsid w:val="7D57AECA"/>
    <w:rsid w:val="7DB42919"/>
    <w:rsid w:val="7E4434A7"/>
    <w:rsid w:val="7E813EEF"/>
    <w:rsid w:val="7EA0E3E3"/>
    <w:rsid w:val="7ED3927F"/>
    <w:rsid w:val="7EDE45E2"/>
    <w:rsid w:val="7F4BF71E"/>
  </w:rsids>
  <m:mathPr>
    <m:mathFont m:val="Cambria Math"/>
    <m:brkBin m:val="before"/>
    <m:brkBinSub m:val="--"/>
    <m:smallFrac m:val="0"/>
    <m:dispDef/>
    <m:lMargin m:val="0"/>
    <m:rMargin m:val="0"/>
    <m:defJc m:val="centerGroup"/>
    <m:wrapIndent m:val="1440"/>
    <m:intLim m:val="subSup"/>
    <m:naryLim m:val="undOvr"/>
  </m:mathPr>
  <w:themeFontLang w:val="en-US" w:eastAsia="x-non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99486"/>
  <w15:chartTrackingRefBased/>
  <w15:docId w15:val="{0816BCA9-AF36-4BCC-90E2-954412B1E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1261F"/>
    <w:pPr>
      <w:spacing w:line="480" w:lineRule="auto"/>
      <w:ind w:left="360"/>
    </w:pPr>
    <w:rPr>
      <w:lang w:val="en-US"/>
    </w:rPr>
  </w:style>
  <w:style w:type="paragraph" w:styleId="Heading2">
    <w:name w:val="heading 2"/>
    <w:basedOn w:val="Normal"/>
    <w:next w:val="Normal"/>
    <w:link w:val="Heading2Char"/>
    <w:uiPriority w:val="9"/>
    <w:unhideWhenUsed/>
    <w:qFormat/>
    <w:rsid w:val="00AF626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E1261F"/>
    <w:pPr>
      <w:spacing w:after="200" w:line="240" w:lineRule="auto"/>
    </w:pPr>
    <w:rPr>
      <w:iCs/>
      <w:color w:val="44546A" w:themeColor="text2"/>
      <w:sz w:val="18"/>
      <w:szCs w:val="18"/>
    </w:rPr>
  </w:style>
  <w:style w:type="paragraph" w:styleId="NoSpacing">
    <w:name w:val="No Spacing"/>
    <w:uiPriority w:val="1"/>
    <w:qFormat/>
    <w:rsid w:val="00E1261F"/>
    <w:pPr>
      <w:spacing w:after="0" w:line="240" w:lineRule="auto"/>
      <w:ind w:left="360"/>
    </w:pPr>
    <w:rPr>
      <w:lang w:val="en-US"/>
    </w:rPr>
  </w:style>
  <w:style w:type="paragraph" w:customStyle="1" w:styleId="Body">
    <w:name w:val="Body"/>
    <w:link w:val="BodyChar"/>
    <w:rsid w:val="00E1261F"/>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rPr>
  </w:style>
  <w:style w:type="character" w:customStyle="1" w:styleId="BodyChar">
    <w:name w:val="Body Char"/>
    <w:basedOn w:val="DefaultParagraphFont"/>
    <w:link w:val="Body"/>
    <w:rsid w:val="00E1261F"/>
    <w:rPr>
      <w:rFonts w:ascii="Helvetica Neue" w:eastAsia="Arial Unicode MS" w:hAnsi="Helvetica Neue" w:cs="Arial Unicode MS"/>
      <w:color w:val="000000"/>
      <w:bdr w:val="nil"/>
      <w:lang w:val="en-US"/>
    </w:rPr>
  </w:style>
  <w:style w:type="paragraph" w:styleId="Footer">
    <w:name w:val="footer"/>
    <w:basedOn w:val="Normal"/>
    <w:link w:val="FooterChar"/>
    <w:uiPriority w:val="99"/>
    <w:unhideWhenUsed/>
    <w:rsid w:val="00E126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261F"/>
    <w:rPr>
      <w:lang w:val="en-US"/>
    </w:rPr>
  </w:style>
  <w:style w:type="character" w:styleId="LineNumber">
    <w:name w:val="line number"/>
    <w:basedOn w:val="DefaultParagraphFont"/>
    <w:uiPriority w:val="99"/>
    <w:semiHidden/>
    <w:unhideWhenUsed/>
    <w:rsid w:val="00E1261F"/>
  </w:style>
  <w:style w:type="paragraph" w:styleId="BalloonText">
    <w:name w:val="Balloon Text"/>
    <w:basedOn w:val="Normal"/>
    <w:link w:val="BalloonTextChar"/>
    <w:uiPriority w:val="99"/>
    <w:semiHidden/>
    <w:unhideWhenUsed/>
    <w:rsid w:val="00466D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DBA"/>
    <w:rPr>
      <w:rFonts w:ascii="Segoe UI" w:hAnsi="Segoe UI" w:cs="Segoe UI"/>
      <w:sz w:val="18"/>
      <w:szCs w:val="18"/>
      <w:lang w:val="en-US"/>
    </w:rPr>
  </w:style>
  <w:style w:type="character" w:styleId="CommentReference">
    <w:name w:val="annotation reference"/>
    <w:basedOn w:val="DefaultParagraphFont"/>
    <w:uiPriority w:val="99"/>
    <w:semiHidden/>
    <w:unhideWhenUsed/>
    <w:rsid w:val="000A693D"/>
    <w:rPr>
      <w:sz w:val="16"/>
      <w:szCs w:val="16"/>
    </w:rPr>
  </w:style>
  <w:style w:type="paragraph" w:styleId="CommentText">
    <w:name w:val="annotation text"/>
    <w:basedOn w:val="Normal"/>
    <w:link w:val="CommentTextChar"/>
    <w:uiPriority w:val="99"/>
    <w:unhideWhenUsed/>
    <w:rsid w:val="000A693D"/>
    <w:pPr>
      <w:spacing w:line="240" w:lineRule="auto"/>
    </w:pPr>
    <w:rPr>
      <w:sz w:val="20"/>
      <w:szCs w:val="20"/>
    </w:rPr>
  </w:style>
  <w:style w:type="character" w:customStyle="1" w:styleId="CommentTextChar">
    <w:name w:val="Comment Text Char"/>
    <w:basedOn w:val="DefaultParagraphFont"/>
    <w:link w:val="CommentText"/>
    <w:uiPriority w:val="99"/>
    <w:rsid w:val="000A693D"/>
    <w:rPr>
      <w:sz w:val="20"/>
      <w:szCs w:val="20"/>
      <w:lang w:val="en-US"/>
    </w:rPr>
  </w:style>
  <w:style w:type="paragraph" w:styleId="CommentSubject">
    <w:name w:val="annotation subject"/>
    <w:basedOn w:val="CommentText"/>
    <w:next w:val="CommentText"/>
    <w:link w:val="CommentSubjectChar"/>
    <w:uiPriority w:val="99"/>
    <w:semiHidden/>
    <w:unhideWhenUsed/>
    <w:rsid w:val="000A693D"/>
    <w:rPr>
      <w:b/>
      <w:bCs/>
    </w:rPr>
  </w:style>
  <w:style w:type="character" w:customStyle="1" w:styleId="CommentSubjectChar">
    <w:name w:val="Comment Subject Char"/>
    <w:basedOn w:val="CommentTextChar"/>
    <w:link w:val="CommentSubject"/>
    <w:uiPriority w:val="99"/>
    <w:semiHidden/>
    <w:rsid w:val="000A693D"/>
    <w:rPr>
      <w:b/>
      <w:bCs/>
      <w:sz w:val="20"/>
      <w:szCs w:val="20"/>
      <w:lang w:val="en-US"/>
    </w:rPr>
  </w:style>
  <w:style w:type="table" w:styleId="TableGrid">
    <w:name w:val="Table Grid"/>
    <w:basedOn w:val="TableNormal"/>
    <w:uiPriority w:val="39"/>
    <w:rsid w:val="006A34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AF6261"/>
    <w:rPr>
      <w:rFonts w:asciiTheme="majorHAnsi" w:eastAsiaTheme="majorEastAsia" w:hAnsiTheme="majorHAnsi" w:cstheme="majorBidi"/>
      <w:color w:val="2F5496" w:themeColor="accent1" w:themeShade="BF"/>
      <w:sz w:val="26"/>
      <w:szCs w:val="26"/>
      <w:lang w:val="en-US"/>
    </w:rPr>
  </w:style>
  <w:style w:type="character" w:customStyle="1" w:styleId="UnresolvedMention">
    <w:name w:val="Unresolved Mention"/>
    <w:basedOn w:val="DefaultParagraphFont"/>
    <w:uiPriority w:val="99"/>
    <w:unhideWhenUsed/>
    <w:rsid w:val="001500B0"/>
    <w:rPr>
      <w:color w:val="605E5C"/>
      <w:shd w:val="clear" w:color="auto" w:fill="E1DFDD"/>
    </w:rPr>
  </w:style>
  <w:style w:type="character" w:styleId="Mention">
    <w:name w:val="Mention"/>
    <w:basedOn w:val="DefaultParagraphFont"/>
    <w:uiPriority w:val="99"/>
    <w:unhideWhenUsed/>
    <w:rsid w:val="001500B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4958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footer" Target="footer1.xml"/><Relationship Id="rId40" Type="http://schemas.openxmlformats.org/officeDocument/2006/relationships/image" Target="media/image34.png"/><Relationship Id="rId41" Type="http://schemas.openxmlformats.org/officeDocument/2006/relationships/image" Target="media/image35.emf"/><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jpg"/><Relationship Id="rId30" Type="http://schemas.openxmlformats.org/officeDocument/2006/relationships/image" Target="media/image24.png"/><Relationship Id="rId31" Type="http://schemas.openxmlformats.org/officeDocument/2006/relationships/image" Target="media/image25.png"/><Relationship Id="rId32" Type="http://schemas.openxmlformats.org/officeDocument/2006/relationships/image" Target="media/image26.png"/><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E95D4C90-7142-044B-81C6-DF66DF0DB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37</Pages>
  <Words>6362</Words>
  <Characters>36519</Characters>
  <Application>Microsoft Macintosh Word</Application>
  <DocSecurity>0</DocSecurity>
  <Lines>570</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Toro</dc:creator>
  <cp:keywords/>
  <dc:description/>
  <cp:lastModifiedBy>Liba F. Hladik</cp:lastModifiedBy>
  <cp:revision>2</cp:revision>
  <dcterms:created xsi:type="dcterms:W3CDTF">2021-04-07T13:35:00Z</dcterms:created>
  <dcterms:modified xsi:type="dcterms:W3CDTF">2021-04-07T13:35:00Z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69110c6e-3e33-37e2-97fd-a82658da637a</vt:lpwstr>
  </property>
  <property fmtid="{D5CDD505-2E9C-101B-9397-08002B2CF9AE}" pid="4" name="Mendeley Citation Style_1">
    <vt:lpwstr>http://www.zotero.org/styles/elementa</vt:lpwstr>
  </property>
</Properties>
</file>