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A15BF" w14:textId="42BB13DB" w:rsidR="00F3514C" w:rsidRDefault="006A34CD" w:rsidP="00A4193B">
      <w:pPr>
        <w:jc w:val="both"/>
        <w:rPr>
          <w:b/>
          <w:bCs/>
        </w:rPr>
      </w:pPr>
      <w:r w:rsidRPr="62D4F570">
        <w:rPr>
          <w:b/>
          <w:bCs/>
        </w:rPr>
        <w:t>Supplemental material for</w:t>
      </w:r>
      <w:r w:rsidR="00F3514C">
        <w:rPr>
          <w:b/>
          <w:bCs/>
        </w:rPr>
        <w:t>:</w:t>
      </w:r>
      <w:r w:rsidRPr="62D4F570">
        <w:rPr>
          <w:b/>
          <w:bCs/>
        </w:rPr>
        <w:t xml:space="preserve"> </w:t>
      </w:r>
    </w:p>
    <w:p w14:paraId="767535FA" w14:textId="77777777" w:rsidR="00F3514C" w:rsidRDefault="00F3514C" w:rsidP="00A4193B">
      <w:pPr>
        <w:jc w:val="both"/>
        <w:rPr>
          <w:b/>
          <w:bCs/>
        </w:rPr>
      </w:pPr>
    </w:p>
    <w:p w14:paraId="5533CB0C" w14:textId="4BE5FAAF" w:rsidR="003D5BAD" w:rsidRDefault="003D5BAD" w:rsidP="00F3514C">
      <w:pPr>
        <w:spacing w:line="288" w:lineRule="auto"/>
        <w:jc w:val="both"/>
        <w:rPr>
          <w:b/>
        </w:rPr>
      </w:pPr>
      <w:r w:rsidRPr="003D5BAD">
        <w:rPr>
          <w:b/>
        </w:rPr>
        <w:t>Concentrations, ratios</w:t>
      </w:r>
      <w:r w:rsidR="00FE22DB">
        <w:rPr>
          <w:b/>
        </w:rPr>
        <w:t>,</w:t>
      </w:r>
      <w:r w:rsidRPr="003D5BAD">
        <w:rPr>
          <w:b/>
        </w:rPr>
        <w:t xml:space="preserve"> and sinking fluxes of major </w:t>
      </w:r>
      <w:proofErr w:type="spellStart"/>
      <w:r w:rsidRPr="003D5BAD">
        <w:rPr>
          <w:b/>
        </w:rPr>
        <w:t>bioelements</w:t>
      </w:r>
      <w:proofErr w:type="spellEnd"/>
      <w:r w:rsidRPr="003D5BAD">
        <w:rPr>
          <w:b/>
        </w:rPr>
        <w:t xml:space="preserve"> at Ocean Station Papa</w:t>
      </w:r>
      <w:r w:rsidRPr="003D5BAD" w:rsidDel="003D5BAD">
        <w:rPr>
          <w:b/>
        </w:rPr>
        <w:t xml:space="preserve"> </w:t>
      </w:r>
    </w:p>
    <w:p w14:paraId="0CE18AA0" w14:textId="77777777" w:rsidR="00F3514C" w:rsidRDefault="00F3514C" w:rsidP="00F3514C">
      <w:pPr>
        <w:spacing w:line="288" w:lineRule="auto"/>
        <w:jc w:val="both"/>
      </w:pPr>
    </w:p>
    <w:p w14:paraId="438FD838" w14:textId="06F4D3E9" w:rsidR="00F3514C" w:rsidRDefault="00F3514C" w:rsidP="00F3514C">
      <w:pPr>
        <w:spacing w:line="288" w:lineRule="auto"/>
        <w:jc w:val="both"/>
        <w:rPr>
          <w:vertAlign w:val="superscript"/>
        </w:rPr>
      </w:pPr>
      <w:r>
        <w:t xml:space="preserve">Montserrat Roca-Martí, Claudia R. Benitez-Nelson, Blaire P. </w:t>
      </w:r>
      <w:proofErr w:type="spellStart"/>
      <w:r>
        <w:t>Umhau</w:t>
      </w:r>
      <w:proofErr w:type="spellEnd"/>
      <w:r>
        <w:t xml:space="preserve">, Abigale M. Wyatt, Samantha J. Clevenger, Steven Pike, Tristan J. Horner, Margaret L. </w:t>
      </w:r>
      <w:proofErr w:type="spellStart"/>
      <w:r>
        <w:t>Estapa</w:t>
      </w:r>
      <w:proofErr w:type="spellEnd"/>
      <w:r>
        <w:t xml:space="preserve">, Laure </w:t>
      </w:r>
      <w:proofErr w:type="spellStart"/>
      <w:r>
        <w:t>Resplandy</w:t>
      </w:r>
      <w:proofErr w:type="spellEnd"/>
      <w:r>
        <w:t xml:space="preserve">, Ken O. </w:t>
      </w:r>
      <w:proofErr w:type="spellStart"/>
      <w:r>
        <w:t>Buesseler</w:t>
      </w:r>
      <w:proofErr w:type="spellEnd"/>
    </w:p>
    <w:p w14:paraId="129CA0AD" w14:textId="77777777" w:rsidR="00F3514C" w:rsidRDefault="00F3514C" w:rsidP="00F3514C">
      <w:pPr>
        <w:spacing w:line="288" w:lineRule="auto"/>
        <w:jc w:val="both"/>
      </w:pPr>
    </w:p>
    <w:p w14:paraId="5388830E" w14:textId="77777777" w:rsidR="006A34CD" w:rsidRDefault="006A34CD" w:rsidP="00A4193B">
      <w:pPr>
        <w:jc w:val="both"/>
        <w:rPr>
          <w:b/>
          <w:bCs/>
        </w:rPr>
      </w:pPr>
    </w:p>
    <w:p w14:paraId="37188D4C" w14:textId="619C3669" w:rsidR="006A34CD" w:rsidRDefault="006A34CD" w:rsidP="00A4193B">
      <w:pPr>
        <w:jc w:val="both"/>
      </w:pPr>
      <w:r>
        <w:t>Contents</w:t>
      </w:r>
      <w:r w:rsidR="00A4193B">
        <w:t>:</w:t>
      </w:r>
    </w:p>
    <w:p w14:paraId="40E05780" w14:textId="79899EEA" w:rsidR="00A4193B" w:rsidRDefault="00A4193B" w:rsidP="00A4193B">
      <w:pPr>
        <w:jc w:val="both"/>
      </w:pPr>
    </w:p>
    <w:p w14:paraId="3717BE5D" w14:textId="4A01FFEA" w:rsidR="00A4193B" w:rsidRPr="00A4193B" w:rsidRDefault="00A4193B" w:rsidP="00A4193B">
      <w:pPr>
        <w:pStyle w:val="ListParagraph"/>
        <w:widowControl w:val="0"/>
        <w:numPr>
          <w:ilvl w:val="0"/>
          <w:numId w:val="1"/>
        </w:numPr>
        <w:spacing w:line="288" w:lineRule="auto"/>
        <w:jc w:val="both"/>
      </w:pPr>
      <w:r w:rsidRPr="00A4193B">
        <w:t xml:space="preserve">Figure S1. </w:t>
      </w:r>
      <w:r w:rsidR="00F03666">
        <w:t>Total particulate p</w:t>
      </w:r>
      <w:r w:rsidRPr="00A4193B">
        <w:t xml:space="preserve">hosphorus </w:t>
      </w:r>
      <w:proofErr w:type="spellStart"/>
      <w:r w:rsidRPr="00A4193B">
        <w:t>intercomparison</w:t>
      </w:r>
      <w:proofErr w:type="spellEnd"/>
      <w:r w:rsidRPr="00A4193B">
        <w:t>.</w:t>
      </w:r>
    </w:p>
    <w:p w14:paraId="08BAE2E5" w14:textId="3724B56C" w:rsidR="00A4193B" w:rsidRPr="00A4193B" w:rsidRDefault="00A4193B" w:rsidP="00A4193B">
      <w:pPr>
        <w:pStyle w:val="ListParagraph"/>
        <w:widowControl w:val="0"/>
        <w:numPr>
          <w:ilvl w:val="0"/>
          <w:numId w:val="1"/>
        </w:numPr>
        <w:spacing w:line="288" w:lineRule="auto"/>
        <w:jc w:val="both"/>
      </w:pPr>
      <w:r w:rsidRPr="00A4193B">
        <w:t>Figure S2. P</w:t>
      </w:r>
      <w:r w:rsidR="00034999">
        <w:t>articulate inorganic carbon</w:t>
      </w:r>
      <w:r w:rsidR="0012054A">
        <w:t xml:space="preserve"> (PIC)</w:t>
      </w:r>
      <w:r w:rsidRPr="00A4193B">
        <w:t>/</w:t>
      </w:r>
      <w:r w:rsidR="0012054A">
        <w:t>thorium-234 (</w:t>
      </w:r>
      <w:r w:rsidRPr="00A4193B">
        <w:rPr>
          <w:vertAlign w:val="superscript"/>
        </w:rPr>
        <w:t>234</w:t>
      </w:r>
      <w:r w:rsidRPr="0012054A">
        <w:t>Th</w:t>
      </w:r>
      <w:r w:rsidR="0012054A">
        <w:t>)</w:t>
      </w:r>
      <w:r w:rsidRPr="00A4193B">
        <w:t xml:space="preserve"> ratio</w:t>
      </w:r>
      <w:r w:rsidR="00132342">
        <w:t>s</w:t>
      </w:r>
      <w:r w:rsidRPr="00A4193B">
        <w:t xml:space="preserve"> in different particle classes.</w:t>
      </w:r>
    </w:p>
    <w:p w14:paraId="2B0014D3" w14:textId="658DB607" w:rsidR="00A4193B" w:rsidRPr="00A4193B" w:rsidRDefault="00A4193B" w:rsidP="00A4193B">
      <w:pPr>
        <w:pStyle w:val="ListParagraph"/>
        <w:widowControl w:val="0"/>
        <w:numPr>
          <w:ilvl w:val="0"/>
          <w:numId w:val="1"/>
        </w:numPr>
        <w:spacing w:line="288" w:lineRule="auto"/>
        <w:jc w:val="both"/>
      </w:pPr>
      <w:r w:rsidRPr="00A4193B">
        <w:t xml:space="preserve">Figure S3. Time-series satellite </w:t>
      </w:r>
      <w:r w:rsidR="0012054A">
        <w:t>particulate inorganic carbon (</w:t>
      </w:r>
      <w:r w:rsidRPr="00A4193B">
        <w:t>PIC</w:t>
      </w:r>
      <w:r w:rsidR="0012054A">
        <w:t>)</w:t>
      </w:r>
      <w:r w:rsidRPr="00A4193B">
        <w:t xml:space="preserve"> concentration around Station P.</w:t>
      </w:r>
    </w:p>
    <w:p w14:paraId="6DA02B8C" w14:textId="6D6974B6" w:rsidR="001A31C2" w:rsidRDefault="001A31C2" w:rsidP="00A4193B">
      <w:pPr>
        <w:pStyle w:val="ListParagraph"/>
        <w:widowControl w:val="0"/>
        <w:numPr>
          <w:ilvl w:val="0"/>
          <w:numId w:val="1"/>
        </w:numPr>
        <w:spacing w:line="288" w:lineRule="auto"/>
        <w:jc w:val="both"/>
      </w:pPr>
      <w:r>
        <w:t xml:space="preserve">Table S1. </w:t>
      </w:r>
      <w:r w:rsidRPr="0012054A">
        <w:t>In situ</w:t>
      </w:r>
      <w:r w:rsidRPr="001A31C2">
        <w:t xml:space="preserve"> pump casts near Station P during </w:t>
      </w:r>
      <w:r w:rsidR="002E7752">
        <w:t xml:space="preserve">the </w:t>
      </w:r>
      <w:proofErr w:type="spellStart"/>
      <w:r w:rsidR="0012054A" w:rsidRPr="0012054A">
        <w:t>EXport</w:t>
      </w:r>
      <w:proofErr w:type="spellEnd"/>
      <w:r w:rsidR="0012054A" w:rsidRPr="0012054A">
        <w:t xml:space="preserve"> Processes in the Ocean from </w:t>
      </w:r>
      <w:proofErr w:type="spellStart"/>
      <w:r w:rsidR="0012054A" w:rsidRPr="0012054A">
        <w:t>RemoTe</w:t>
      </w:r>
      <w:proofErr w:type="spellEnd"/>
      <w:r w:rsidR="0012054A" w:rsidRPr="0012054A">
        <w:t xml:space="preserve"> Sensing</w:t>
      </w:r>
      <w:r w:rsidR="002E7752">
        <w:t xml:space="preserve"> field campaign</w:t>
      </w:r>
      <w:r>
        <w:t>.</w:t>
      </w:r>
    </w:p>
    <w:p w14:paraId="2DA07CCA" w14:textId="003C68F6" w:rsidR="001A31C2" w:rsidRPr="00A4193B" w:rsidRDefault="001A31C2" w:rsidP="00A4193B">
      <w:pPr>
        <w:pStyle w:val="ListParagraph"/>
        <w:widowControl w:val="0"/>
        <w:numPr>
          <w:ilvl w:val="0"/>
          <w:numId w:val="1"/>
        </w:numPr>
        <w:spacing w:line="288" w:lineRule="auto"/>
        <w:jc w:val="both"/>
      </w:pPr>
      <w:r>
        <w:t xml:space="preserve">Table S2. </w:t>
      </w:r>
      <w:r w:rsidR="00FA6D3C" w:rsidRPr="00FA6D3C">
        <w:t xml:space="preserve">Subsample to subsample variability on </w:t>
      </w:r>
      <w:r w:rsidR="0012054A" w:rsidRPr="0012054A">
        <w:t xml:space="preserve">quartz microfiber </w:t>
      </w:r>
      <w:r w:rsidR="00FA6D3C" w:rsidRPr="00FA6D3C">
        <w:t>filters</w:t>
      </w:r>
      <w:r w:rsidR="00FA6D3C">
        <w:t>.</w:t>
      </w:r>
    </w:p>
    <w:p w14:paraId="52F821F4" w14:textId="0C8F7B81" w:rsidR="00F3514C" w:rsidRPr="00F3514C" w:rsidRDefault="00F3514C" w:rsidP="00A4193B">
      <w:pPr>
        <w:pStyle w:val="ListParagraph"/>
        <w:widowControl w:val="0"/>
        <w:numPr>
          <w:ilvl w:val="0"/>
          <w:numId w:val="1"/>
        </w:numPr>
        <w:spacing w:line="288" w:lineRule="auto"/>
        <w:jc w:val="both"/>
        <w:rPr>
          <w:i/>
          <w:color w:val="000000"/>
        </w:rPr>
      </w:pPr>
      <w:r w:rsidRPr="00F3514C">
        <w:rPr>
          <w:color w:val="000000"/>
        </w:rPr>
        <w:t>Table S</w:t>
      </w:r>
      <w:r w:rsidR="001A31C2">
        <w:rPr>
          <w:color w:val="000000"/>
        </w:rPr>
        <w:t>3</w:t>
      </w:r>
      <w:r w:rsidRPr="00F3514C">
        <w:rPr>
          <w:color w:val="000000"/>
        </w:rPr>
        <w:t xml:space="preserve">. </w:t>
      </w:r>
      <w:r w:rsidR="0012054A" w:rsidRPr="0012054A">
        <w:rPr>
          <w:color w:val="000000"/>
        </w:rPr>
        <w:t>Thorium-234 (</w:t>
      </w:r>
      <w:r w:rsidR="0012054A" w:rsidRPr="0012054A">
        <w:rPr>
          <w:color w:val="000000"/>
          <w:vertAlign w:val="superscript"/>
        </w:rPr>
        <w:t>234</w:t>
      </w:r>
      <w:r w:rsidR="0012054A" w:rsidRPr="0012054A">
        <w:rPr>
          <w:color w:val="000000"/>
        </w:rPr>
        <w:t>Th), particulate organic carbon (POC), particulate nitrogen (PN), total particulate phosphorus (TPP), biogenic silica (</w:t>
      </w:r>
      <w:proofErr w:type="spellStart"/>
      <w:r w:rsidR="0012054A" w:rsidRPr="0012054A">
        <w:rPr>
          <w:color w:val="000000"/>
        </w:rPr>
        <w:t>bSi</w:t>
      </w:r>
      <w:proofErr w:type="spellEnd"/>
      <w:r w:rsidR="0012054A" w:rsidRPr="0012054A">
        <w:rPr>
          <w:color w:val="000000"/>
        </w:rPr>
        <w:t>), and particulate inorganic carbon (PIC)</w:t>
      </w:r>
      <w:r w:rsidR="0012054A">
        <w:rPr>
          <w:color w:val="000000"/>
        </w:rPr>
        <w:t xml:space="preserve"> </w:t>
      </w:r>
      <w:r w:rsidRPr="00F3514C">
        <w:rPr>
          <w:color w:val="000000"/>
        </w:rPr>
        <w:t>fluxes for each cast and depth.</w:t>
      </w:r>
      <w:r>
        <w:rPr>
          <w:color w:val="000000"/>
        </w:rPr>
        <w:t xml:space="preserve"> </w:t>
      </w:r>
      <w:r w:rsidRPr="00F3514C">
        <w:rPr>
          <w:i/>
          <w:color w:val="000000"/>
        </w:rPr>
        <w:t>(Separate file)</w:t>
      </w:r>
    </w:p>
    <w:p w14:paraId="47C091FB" w14:textId="7D0F121F" w:rsidR="00A4193B" w:rsidRPr="00AC072C" w:rsidRDefault="00A4193B" w:rsidP="00AC072C">
      <w:pPr>
        <w:rPr>
          <w:color w:val="000000"/>
        </w:rPr>
      </w:pPr>
      <w:r>
        <w:rPr>
          <w:color w:val="000000"/>
        </w:rPr>
        <w:br w:type="page"/>
      </w:r>
    </w:p>
    <w:p w14:paraId="354C5A92" w14:textId="11B5C523" w:rsidR="00A4193B" w:rsidRDefault="00A4193B" w:rsidP="00A4193B">
      <w:pPr>
        <w:jc w:val="center"/>
        <w:rPr>
          <w:b/>
          <w:color w:val="000000"/>
        </w:rPr>
      </w:pPr>
      <w:r>
        <w:rPr>
          <w:b/>
          <w:noProof/>
          <w:color w:val="000000"/>
        </w:rPr>
        <w:lastRenderedPageBreak/>
        <w:drawing>
          <wp:inline distT="0" distB="0" distL="0" distR="0" wp14:anchorId="21B9C986" wp14:editId="723C632E">
            <wp:extent cx="3124200" cy="353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S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4200" cy="3530600"/>
                    </a:xfrm>
                    <a:prstGeom prst="rect">
                      <a:avLst/>
                    </a:prstGeom>
                  </pic:spPr>
                </pic:pic>
              </a:graphicData>
            </a:graphic>
          </wp:inline>
        </w:drawing>
      </w:r>
    </w:p>
    <w:p w14:paraId="05589913" w14:textId="7F28029B" w:rsidR="00AC072C" w:rsidRDefault="00A4193B" w:rsidP="0079727A">
      <w:pPr>
        <w:spacing w:line="288" w:lineRule="auto"/>
        <w:jc w:val="both"/>
      </w:pPr>
      <w:r w:rsidRPr="00A4193B">
        <w:rPr>
          <w:b/>
        </w:rPr>
        <w:t xml:space="preserve">Figure S1. </w:t>
      </w:r>
      <w:r w:rsidR="00F03666" w:rsidRPr="00F03666">
        <w:t xml:space="preserve">Total </w:t>
      </w:r>
      <w:r w:rsidR="00F03666">
        <w:t>particulate p</w:t>
      </w:r>
      <w:r w:rsidRPr="00CB379B">
        <w:t xml:space="preserve">hosphorus </w:t>
      </w:r>
      <w:proofErr w:type="spellStart"/>
      <w:r w:rsidRPr="00CB379B">
        <w:t>intercomparison</w:t>
      </w:r>
      <w:proofErr w:type="spellEnd"/>
      <w:r w:rsidRPr="00CB379B">
        <w:t xml:space="preserve"> based on three subsets of </w:t>
      </w:r>
      <w:r w:rsidR="00FD104B">
        <w:t>quartz microfiber filter</w:t>
      </w:r>
      <w:r w:rsidRPr="00CB379B">
        <w:t xml:space="preserve"> punches (1–5 </w:t>
      </w:r>
      <w:proofErr w:type="spellStart"/>
      <w:r w:rsidRPr="00CB379B">
        <w:t>μm</w:t>
      </w:r>
      <w:proofErr w:type="spellEnd"/>
      <w:r w:rsidRPr="00CB379B">
        <w:t xml:space="preserve"> fraction) preserved differently: dried at sea (circles), frozen at –20ºC (triangles) and at room temperature (stars). Dried and frozen punches were analyzed at </w:t>
      </w:r>
      <w:r w:rsidR="002E7752">
        <w:t xml:space="preserve">the </w:t>
      </w:r>
      <w:r w:rsidRPr="00CB379B">
        <w:t>U</w:t>
      </w:r>
      <w:r w:rsidR="002E7752">
        <w:t xml:space="preserve">niversity </w:t>
      </w:r>
      <w:r w:rsidRPr="00CB379B">
        <w:t>of</w:t>
      </w:r>
      <w:r w:rsidR="002E7752">
        <w:t xml:space="preserve"> </w:t>
      </w:r>
      <w:r w:rsidRPr="00CB379B">
        <w:t>S</w:t>
      </w:r>
      <w:r w:rsidR="002E7752">
        <w:t xml:space="preserve">outh </w:t>
      </w:r>
      <w:r w:rsidRPr="00CB379B">
        <w:t>C</w:t>
      </w:r>
      <w:r w:rsidR="002E7752">
        <w:t>arolina</w:t>
      </w:r>
      <w:r w:rsidRPr="00CB379B">
        <w:t xml:space="preserve">, while those stored at room temperature were processed at </w:t>
      </w:r>
      <w:r w:rsidR="002E7752">
        <w:t xml:space="preserve">the </w:t>
      </w:r>
      <w:r w:rsidRPr="00CB379B">
        <w:t>W</w:t>
      </w:r>
      <w:r w:rsidR="002E7752">
        <w:t xml:space="preserve">oods </w:t>
      </w:r>
      <w:r w:rsidRPr="00CB379B">
        <w:t>H</w:t>
      </w:r>
      <w:r w:rsidR="002E7752">
        <w:t xml:space="preserve">ole </w:t>
      </w:r>
      <w:r w:rsidRPr="00CB379B">
        <w:t>O</w:t>
      </w:r>
      <w:r w:rsidR="002E7752">
        <w:t xml:space="preserve">ceanographic </w:t>
      </w:r>
      <w:r w:rsidRPr="00CB379B">
        <w:t>I</w:t>
      </w:r>
      <w:r w:rsidR="002E7752">
        <w:t>nstitution</w:t>
      </w:r>
      <w:r w:rsidRPr="00CB379B">
        <w:t xml:space="preserve"> following the methods described in the manuscript. Samples were collected using </w:t>
      </w:r>
      <w:r w:rsidRPr="002E7752">
        <w:t>in situ</w:t>
      </w:r>
      <w:r w:rsidRPr="00CB379B">
        <w:t xml:space="preserve"> pumps at 50, 100, 150, 200, 330 and 500 m at three stations (</w:t>
      </w:r>
      <w:r>
        <w:t>once</w:t>
      </w:r>
      <w:r w:rsidRPr="00CB379B">
        <w:t xml:space="preserve"> per epoch: Epoch 1 = dark blue; Epoch 2 = red; Epoch 3 = turquoise). Data from each epoch </w:t>
      </w:r>
      <w:r w:rsidR="00203E2C">
        <w:t>are</w:t>
      </w:r>
      <w:r w:rsidRPr="00CB379B">
        <w:t xml:space="preserve"> </w:t>
      </w:r>
      <w:r w:rsidR="00203E2C">
        <w:t>offset</w:t>
      </w:r>
      <w:r w:rsidRPr="00CB379B">
        <w:t xml:space="preserve"> by 10 m to facilitate visualization</w:t>
      </w:r>
      <w:r>
        <w:t>.</w:t>
      </w:r>
    </w:p>
    <w:p w14:paraId="0542E3EE" w14:textId="77777777" w:rsidR="00AC072C" w:rsidRDefault="00AC072C">
      <w:r>
        <w:br w:type="page"/>
      </w:r>
    </w:p>
    <w:p w14:paraId="1EC63E6C" w14:textId="3E929318" w:rsidR="00A4193B" w:rsidRDefault="00AC072C" w:rsidP="00A4193B">
      <w:pPr>
        <w:jc w:val="both"/>
        <w:rPr>
          <w:b/>
          <w:color w:val="000000"/>
        </w:rPr>
      </w:pPr>
      <w:r>
        <w:rPr>
          <w:b/>
          <w:noProof/>
          <w:color w:val="000000"/>
        </w:rPr>
        <w:lastRenderedPageBreak/>
        <w:drawing>
          <wp:inline distT="0" distB="0" distL="0" distR="0" wp14:anchorId="06D5197B" wp14:editId="6B341D13">
            <wp:extent cx="5486400" cy="381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S2.JPG"/>
                    <pic:cNvPicPr/>
                  </pic:nvPicPr>
                  <pic:blipFill>
                    <a:blip r:embed="rId9">
                      <a:extLst>
                        <a:ext uri="{28A0092B-C50C-407E-A947-70E740481C1C}">
                          <a14:useLocalDpi xmlns:a14="http://schemas.microsoft.com/office/drawing/2010/main" val="0"/>
                        </a:ext>
                      </a:extLst>
                    </a:blip>
                    <a:stretch>
                      <a:fillRect/>
                    </a:stretch>
                  </pic:blipFill>
                  <pic:spPr>
                    <a:xfrm>
                      <a:off x="0" y="0"/>
                      <a:ext cx="5486400" cy="3810000"/>
                    </a:xfrm>
                    <a:prstGeom prst="rect">
                      <a:avLst/>
                    </a:prstGeom>
                  </pic:spPr>
                </pic:pic>
              </a:graphicData>
            </a:graphic>
          </wp:inline>
        </w:drawing>
      </w:r>
    </w:p>
    <w:p w14:paraId="1821D597" w14:textId="77777777" w:rsidR="00AC072C" w:rsidRDefault="00AC072C" w:rsidP="00A4193B">
      <w:pPr>
        <w:jc w:val="both"/>
        <w:rPr>
          <w:b/>
          <w:color w:val="000000"/>
        </w:rPr>
      </w:pPr>
    </w:p>
    <w:p w14:paraId="06351C7D" w14:textId="69F1C30A" w:rsidR="00AC072C" w:rsidRDefault="00AC072C" w:rsidP="00AC072C">
      <w:pPr>
        <w:widowControl w:val="0"/>
        <w:spacing w:line="288" w:lineRule="auto"/>
        <w:jc w:val="both"/>
      </w:pPr>
      <w:r w:rsidRPr="002C60A7">
        <w:rPr>
          <w:b/>
        </w:rPr>
        <w:t xml:space="preserve">Figure S2. </w:t>
      </w:r>
      <w:r w:rsidR="00132342" w:rsidRPr="00A4193B">
        <w:t>P</w:t>
      </w:r>
      <w:r w:rsidR="00132342">
        <w:t>articulate inorganic carbon (PIC)</w:t>
      </w:r>
      <w:r w:rsidR="00132342" w:rsidRPr="00A4193B">
        <w:t>/</w:t>
      </w:r>
      <w:r w:rsidR="00132342">
        <w:t>thorium-234 (</w:t>
      </w:r>
      <w:r w:rsidR="00132342" w:rsidRPr="00A4193B">
        <w:rPr>
          <w:vertAlign w:val="superscript"/>
        </w:rPr>
        <w:t>234</w:t>
      </w:r>
      <w:r w:rsidR="00132342" w:rsidRPr="0012054A">
        <w:t>Th</w:t>
      </w:r>
      <w:r w:rsidR="00132342">
        <w:t>)</w:t>
      </w:r>
      <w:r w:rsidR="00132342" w:rsidRPr="00A4193B">
        <w:t xml:space="preserve"> </w:t>
      </w:r>
      <w:r w:rsidRPr="00CB379B">
        <w:t xml:space="preserve">ratios in small (1–5 </w:t>
      </w:r>
      <w:proofErr w:type="spellStart"/>
      <w:r w:rsidRPr="00CB379B">
        <w:t>μm</w:t>
      </w:r>
      <w:proofErr w:type="spellEnd"/>
      <w:r w:rsidRPr="00CB379B">
        <w:t>), mid</w:t>
      </w:r>
      <w:r w:rsidR="005C78EC">
        <w:t>-sized</w:t>
      </w:r>
      <w:r w:rsidRPr="00CB379B">
        <w:t xml:space="preserve"> (5–51 </w:t>
      </w:r>
      <w:proofErr w:type="spellStart"/>
      <w:r w:rsidRPr="00CB379B">
        <w:t>μm</w:t>
      </w:r>
      <w:proofErr w:type="spellEnd"/>
      <w:r w:rsidRPr="00CB379B">
        <w:t xml:space="preserve">), large (&gt;51 </w:t>
      </w:r>
      <w:proofErr w:type="spellStart"/>
      <w:r w:rsidRPr="00CB379B">
        <w:t>μm</w:t>
      </w:r>
      <w:proofErr w:type="spellEnd"/>
      <w:r w:rsidRPr="00CB379B">
        <w:t>) and trap (</w:t>
      </w:r>
      <w:proofErr w:type="spellStart"/>
      <w:r w:rsidRPr="00CB379B">
        <w:t>Estapa</w:t>
      </w:r>
      <w:proofErr w:type="spellEnd"/>
      <w:r w:rsidRPr="00CB379B">
        <w:t xml:space="preserve"> et al., </w:t>
      </w:r>
      <w:r w:rsidR="00941AD9">
        <w:t>2021</w:t>
      </w:r>
      <w:r w:rsidRPr="00CB379B">
        <w:t>) particles combining samples from 100 to 500 m</w:t>
      </w:r>
      <w:r>
        <w:t xml:space="preserve">. The base of the boxes indicates the </w:t>
      </w:r>
      <w:r w:rsidRPr="00941AD9">
        <w:t xml:space="preserve">25th percentile, the line within the boxes marks the median, and the top of the boxes indicates the 75th percentile. Error bars above and below the boxes indicate the 90th and 10th percentiles. Black dots show the data points outside the 10–90th percentile range. </w:t>
      </w:r>
    </w:p>
    <w:p w14:paraId="1E279481" w14:textId="77777777" w:rsidR="00AC072C" w:rsidRDefault="00AC072C">
      <w:r>
        <w:br w:type="page"/>
      </w:r>
    </w:p>
    <w:p w14:paraId="02027296" w14:textId="418B6CE2" w:rsidR="00AC072C" w:rsidRDefault="00AC072C" w:rsidP="00AC072C">
      <w:pPr>
        <w:widowControl w:val="0"/>
        <w:spacing w:line="288" w:lineRule="auto"/>
        <w:jc w:val="both"/>
        <w:rPr>
          <w:b/>
        </w:rPr>
      </w:pPr>
      <w:r>
        <w:rPr>
          <w:b/>
          <w:noProof/>
        </w:rPr>
        <w:lastRenderedPageBreak/>
        <w:drawing>
          <wp:inline distT="0" distB="0" distL="0" distR="0" wp14:anchorId="3ACCC8AE" wp14:editId="0598A2B8">
            <wp:extent cx="5943600" cy="19913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S3.pdf"/>
                    <pic:cNvPicPr/>
                  </pic:nvPicPr>
                  <pic:blipFill>
                    <a:blip r:embed="rId10">
                      <a:extLst>
                        <a:ext uri="{28A0092B-C50C-407E-A947-70E740481C1C}">
                          <a14:useLocalDpi xmlns:a14="http://schemas.microsoft.com/office/drawing/2010/main" val="0"/>
                        </a:ext>
                      </a:extLst>
                    </a:blip>
                    <a:stretch>
                      <a:fillRect/>
                    </a:stretch>
                  </pic:blipFill>
                  <pic:spPr>
                    <a:xfrm>
                      <a:off x="0" y="0"/>
                      <a:ext cx="5943600" cy="1991360"/>
                    </a:xfrm>
                    <a:prstGeom prst="rect">
                      <a:avLst/>
                    </a:prstGeom>
                  </pic:spPr>
                </pic:pic>
              </a:graphicData>
            </a:graphic>
          </wp:inline>
        </w:drawing>
      </w:r>
    </w:p>
    <w:p w14:paraId="4F013240" w14:textId="77777777" w:rsidR="00AC072C" w:rsidRDefault="00AC072C" w:rsidP="00AC072C">
      <w:pPr>
        <w:widowControl w:val="0"/>
        <w:spacing w:line="288" w:lineRule="auto"/>
        <w:jc w:val="both"/>
        <w:rPr>
          <w:b/>
        </w:rPr>
      </w:pPr>
    </w:p>
    <w:p w14:paraId="004E2183" w14:textId="7ED79ED7" w:rsidR="00AC072C" w:rsidRDefault="00AC072C" w:rsidP="00AC072C">
      <w:pPr>
        <w:widowControl w:val="0"/>
        <w:spacing w:line="288" w:lineRule="auto"/>
        <w:jc w:val="both"/>
      </w:pPr>
      <w:r w:rsidRPr="002C60A7">
        <w:rPr>
          <w:b/>
        </w:rPr>
        <w:t>Figure S3</w:t>
      </w:r>
      <w:r>
        <w:rPr>
          <w:b/>
        </w:rPr>
        <w:t>.</w:t>
      </w:r>
      <w:r>
        <w:t xml:space="preserve"> </w:t>
      </w:r>
      <w:r w:rsidRPr="00CB379B">
        <w:t xml:space="preserve">Monthly satellite-derived </w:t>
      </w:r>
      <w:r w:rsidR="000264FC">
        <w:t>particulate inorganic carbon (</w:t>
      </w:r>
      <w:r w:rsidRPr="00CB379B">
        <w:t>PIC</w:t>
      </w:r>
      <w:r w:rsidR="000264FC">
        <w:t>)</w:t>
      </w:r>
      <w:r w:rsidRPr="00CB379B">
        <w:t xml:space="preserve"> concentration around Station P from 2002 to 2018 (± 2 degrees). Orange dots show the monthly average concentrations in August and September and the orange dotted line represents the average PIC concentration in August and September during this 17-year time period. Data courtesy of NASA Goddard Space Flight Center, Ocean Ecology Laboratory, 2018</w:t>
      </w:r>
      <w:r>
        <w:t xml:space="preserve">. </w:t>
      </w:r>
    </w:p>
    <w:p w14:paraId="0164F861" w14:textId="7AEA3C94" w:rsidR="00AC072C" w:rsidRPr="00047C41" w:rsidRDefault="00553F14" w:rsidP="00047C41">
      <w:r>
        <w:br w:type="page"/>
      </w:r>
    </w:p>
    <w:p w14:paraId="69385751" w14:textId="6AC2A5B1" w:rsidR="00CB3946" w:rsidRPr="00B25BB3" w:rsidRDefault="00CB3946" w:rsidP="00B25BB3">
      <w:r>
        <w:rPr>
          <w:b/>
        </w:rPr>
        <w:lastRenderedPageBreak/>
        <w:t>Table</w:t>
      </w:r>
      <w:r w:rsidRPr="002C60A7">
        <w:rPr>
          <w:b/>
        </w:rPr>
        <w:t xml:space="preserve"> S</w:t>
      </w:r>
      <w:r>
        <w:rPr>
          <w:b/>
        </w:rPr>
        <w:t xml:space="preserve">1. </w:t>
      </w:r>
      <w:r w:rsidRPr="00E20CB1">
        <w:rPr>
          <w:b/>
        </w:rPr>
        <w:t>In situ</w:t>
      </w:r>
      <w:r w:rsidRPr="0017412E">
        <w:rPr>
          <w:b/>
        </w:rPr>
        <w:t xml:space="preserve"> pump casts near Station P during </w:t>
      </w:r>
      <w:r w:rsidR="00687380">
        <w:rPr>
          <w:b/>
        </w:rPr>
        <w:t xml:space="preserve">the </w:t>
      </w:r>
      <w:proofErr w:type="spellStart"/>
      <w:r w:rsidR="00E20CB1" w:rsidRPr="00E20CB1">
        <w:rPr>
          <w:b/>
        </w:rPr>
        <w:t>EXport</w:t>
      </w:r>
      <w:proofErr w:type="spellEnd"/>
      <w:r w:rsidR="00E20CB1" w:rsidRPr="00E20CB1">
        <w:rPr>
          <w:b/>
        </w:rPr>
        <w:t xml:space="preserve"> Processes in the Ocean from </w:t>
      </w:r>
      <w:proofErr w:type="spellStart"/>
      <w:r w:rsidR="00E20CB1" w:rsidRPr="00E20CB1">
        <w:rPr>
          <w:b/>
        </w:rPr>
        <w:t>RemoTe</w:t>
      </w:r>
      <w:proofErr w:type="spellEnd"/>
      <w:r w:rsidR="00E20CB1" w:rsidRPr="00E20CB1">
        <w:rPr>
          <w:b/>
        </w:rPr>
        <w:t xml:space="preserve"> Sensing</w:t>
      </w:r>
      <w:r w:rsidR="00687380">
        <w:rPr>
          <w:b/>
        </w:rPr>
        <w:t xml:space="preserve"> field campaign</w:t>
      </w:r>
    </w:p>
    <w:p w14:paraId="1107D6E2" w14:textId="317AB124" w:rsidR="00AC072C" w:rsidRDefault="00AC072C" w:rsidP="00AC072C">
      <w:pPr>
        <w:widowControl w:val="0"/>
        <w:spacing w:line="288" w:lineRule="auto"/>
        <w:jc w:val="both"/>
      </w:pPr>
    </w:p>
    <w:tbl>
      <w:tblPr>
        <w:tblW w:w="10653" w:type="dxa"/>
        <w:jc w:val="center"/>
        <w:tblLook w:val="04A0" w:firstRow="1" w:lastRow="0" w:firstColumn="1" w:lastColumn="0" w:noHBand="0" w:noVBand="1"/>
      </w:tblPr>
      <w:tblGrid>
        <w:gridCol w:w="1530"/>
        <w:gridCol w:w="1080"/>
        <w:gridCol w:w="1080"/>
        <w:gridCol w:w="1440"/>
        <w:gridCol w:w="1620"/>
        <w:gridCol w:w="2340"/>
        <w:gridCol w:w="1563"/>
      </w:tblGrid>
      <w:tr w:rsidR="00DC2B07" w:rsidRPr="00DC2B07" w14:paraId="240E70A9" w14:textId="77777777" w:rsidTr="00B25BB3">
        <w:trPr>
          <w:trHeight w:val="300"/>
          <w:jc w:val="center"/>
        </w:trPr>
        <w:tc>
          <w:tcPr>
            <w:tcW w:w="1530" w:type="dxa"/>
            <w:tcBorders>
              <w:top w:val="nil"/>
              <w:left w:val="nil"/>
              <w:bottom w:val="single" w:sz="4" w:space="0" w:color="auto"/>
              <w:right w:val="nil"/>
            </w:tcBorders>
            <w:shd w:val="clear" w:color="auto" w:fill="auto"/>
            <w:noWrap/>
            <w:vAlign w:val="bottom"/>
            <w:hideMark/>
          </w:tcPr>
          <w:p w14:paraId="76194EBC" w14:textId="77777777" w:rsidR="00CB3946" w:rsidRPr="00DC2B07" w:rsidRDefault="00CB3946" w:rsidP="00CB3946">
            <w:pPr>
              <w:jc w:val="center"/>
              <w:rPr>
                <w:color w:val="000000"/>
              </w:rPr>
            </w:pPr>
            <w:r w:rsidRPr="00DC2B07">
              <w:rPr>
                <w:color w:val="000000"/>
              </w:rPr>
              <w:t>Pump cast #</w:t>
            </w:r>
          </w:p>
        </w:tc>
        <w:tc>
          <w:tcPr>
            <w:tcW w:w="1080" w:type="dxa"/>
            <w:tcBorders>
              <w:top w:val="nil"/>
              <w:left w:val="nil"/>
              <w:bottom w:val="single" w:sz="4" w:space="0" w:color="auto"/>
              <w:right w:val="nil"/>
            </w:tcBorders>
            <w:shd w:val="clear" w:color="auto" w:fill="auto"/>
            <w:noWrap/>
            <w:vAlign w:val="bottom"/>
            <w:hideMark/>
          </w:tcPr>
          <w:p w14:paraId="43EE77C9" w14:textId="77777777" w:rsidR="00CB3946" w:rsidRPr="00DC2B07" w:rsidRDefault="00CB3946" w:rsidP="00CB3946">
            <w:pPr>
              <w:jc w:val="center"/>
              <w:rPr>
                <w:color w:val="000000"/>
              </w:rPr>
            </w:pPr>
            <w:r w:rsidRPr="00DC2B07">
              <w:rPr>
                <w:color w:val="000000"/>
              </w:rPr>
              <w:t>Station #</w:t>
            </w:r>
          </w:p>
        </w:tc>
        <w:tc>
          <w:tcPr>
            <w:tcW w:w="1080" w:type="dxa"/>
            <w:tcBorders>
              <w:top w:val="nil"/>
              <w:left w:val="nil"/>
              <w:bottom w:val="single" w:sz="4" w:space="0" w:color="auto"/>
              <w:right w:val="nil"/>
            </w:tcBorders>
            <w:shd w:val="clear" w:color="auto" w:fill="auto"/>
            <w:noWrap/>
            <w:vAlign w:val="bottom"/>
            <w:hideMark/>
          </w:tcPr>
          <w:p w14:paraId="2E762CAB" w14:textId="77777777" w:rsidR="00CB3946" w:rsidRPr="00DC2B07" w:rsidRDefault="00CB3946" w:rsidP="00CB3946">
            <w:pPr>
              <w:jc w:val="center"/>
              <w:rPr>
                <w:color w:val="000000"/>
              </w:rPr>
            </w:pPr>
            <w:r w:rsidRPr="00DC2B07">
              <w:rPr>
                <w:color w:val="000000"/>
              </w:rPr>
              <w:t>Epoch #</w:t>
            </w:r>
          </w:p>
        </w:tc>
        <w:tc>
          <w:tcPr>
            <w:tcW w:w="1440" w:type="dxa"/>
            <w:tcBorders>
              <w:top w:val="nil"/>
              <w:left w:val="nil"/>
              <w:bottom w:val="single" w:sz="4" w:space="0" w:color="auto"/>
              <w:right w:val="nil"/>
            </w:tcBorders>
            <w:shd w:val="clear" w:color="auto" w:fill="auto"/>
            <w:noWrap/>
            <w:vAlign w:val="bottom"/>
            <w:hideMark/>
          </w:tcPr>
          <w:p w14:paraId="069C5D03" w14:textId="769AC9F9" w:rsidR="00CB3946" w:rsidRPr="00DC2B07" w:rsidRDefault="00CB3946" w:rsidP="00CB3946">
            <w:pPr>
              <w:jc w:val="center"/>
              <w:rPr>
                <w:color w:val="000000"/>
              </w:rPr>
            </w:pPr>
            <w:r w:rsidRPr="00DC2B07">
              <w:rPr>
                <w:color w:val="000000"/>
              </w:rPr>
              <w:t>Latitude (</w:t>
            </w:r>
            <w:r w:rsidR="00F267FE">
              <w:rPr>
                <w:color w:val="000000"/>
              </w:rPr>
              <w:t>º</w:t>
            </w:r>
            <w:r w:rsidRPr="00DC2B07">
              <w:rPr>
                <w:color w:val="000000"/>
              </w:rPr>
              <w:t>N)</w:t>
            </w:r>
          </w:p>
        </w:tc>
        <w:tc>
          <w:tcPr>
            <w:tcW w:w="1620" w:type="dxa"/>
            <w:tcBorders>
              <w:top w:val="nil"/>
              <w:left w:val="nil"/>
              <w:bottom w:val="single" w:sz="4" w:space="0" w:color="auto"/>
              <w:right w:val="nil"/>
            </w:tcBorders>
            <w:shd w:val="clear" w:color="auto" w:fill="auto"/>
            <w:noWrap/>
            <w:vAlign w:val="bottom"/>
            <w:hideMark/>
          </w:tcPr>
          <w:p w14:paraId="37A8FB1B" w14:textId="466CB4AD" w:rsidR="00CB3946" w:rsidRPr="00DC2B07" w:rsidRDefault="00CB3946" w:rsidP="00CB3946">
            <w:pPr>
              <w:jc w:val="center"/>
              <w:rPr>
                <w:color w:val="000000"/>
              </w:rPr>
            </w:pPr>
            <w:r w:rsidRPr="00DC2B07">
              <w:rPr>
                <w:color w:val="000000"/>
              </w:rPr>
              <w:t>Longitude (</w:t>
            </w:r>
            <w:r w:rsidR="00F267FE">
              <w:rPr>
                <w:color w:val="000000"/>
              </w:rPr>
              <w:t>º</w:t>
            </w:r>
            <w:bookmarkStart w:id="0" w:name="_GoBack"/>
            <w:bookmarkEnd w:id="0"/>
            <w:r w:rsidR="001A31C2" w:rsidRPr="00DC2B07">
              <w:rPr>
                <w:color w:val="000000"/>
              </w:rPr>
              <w:t>E</w:t>
            </w:r>
            <w:r w:rsidRPr="00DC2B07">
              <w:rPr>
                <w:color w:val="000000"/>
              </w:rPr>
              <w:t>)</w:t>
            </w:r>
          </w:p>
        </w:tc>
        <w:tc>
          <w:tcPr>
            <w:tcW w:w="2340" w:type="dxa"/>
            <w:tcBorders>
              <w:top w:val="nil"/>
              <w:left w:val="nil"/>
              <w:bottom w:val="single" w:sz="4" w:space="0" w:color="auto"/>
              <w:right w:val="nil"/>
            </w:tcBorders>
            <w:shd w:val="clear" w:color="auto" w:fill="auto"/>
            <w:noWrap/>
            <w:vAlign w:val="bottom"/>
            <w:hideMark/>
          </w:tcPr>
          <w:p w14:paraId="68B60B6E" w14:textId="77777777" w:rsidR="00CB3946" w:rsidRPr="00DC2B07" w:rsidRDefault="00CB3946" w:rsidP="00CB3946">
            <w:pPr>
              <w:jc w:val="center"/>
              <w:rPr>
                <w:color w:val="000000"/>
              </w:rPr>
            </w:pPr>
            <w:r w:rsidRPr="00DC2B07">
              <w:rPr>
                <w:color w:val="000000"/>
              </w:rPr>
              <w:t>Pumping start (UTC)</w:t>
            </w:r>
          </w:p>
        </w:tc>
        <w:tc>
          <w:tcPr>
            <w:tcW w:w="1563" w:type="dxa"/>
            <w:tcBorders>
              <w:top w:val="nil"/>
              <w:left w:val="nil"/>
              <w:bottom w:val="single" w:sz="4" w:space="0" w:color="auto"/>
              <w:right w:val="nil"/>
            </w:tcBorders>
            <w:shd w:val="clear" w:color="auto" w:fill="auto"/>
            <w:noWrap/>
            <w:vAlign w:val="bottom"/>
            <w:hideMark/>
          </w:tcPr>
          <w:p w14:paraId="2AE165E3" w14:textId="091BA2BF" w:rsidR="00CB3946" w:rsidRPr="00DC2B07" w:rsidRDefault="00DC2B07" w:rsidP="00CB3946">
            <w:pPr>
              <w:jc w:val="center"/>
              <w:rPr>
                <w:color w:val="000000"/>
              </w:rPr>
            </w:pPr>
            <w:r>
              <w:rPr>
                <w:color w:val="000000"/>
              </w:rPr>
              <w:t>D</w:t>
            </w:r>
            <w:r w:rsidR="00CB3946" w:rsidRPr="00DC2B07">
              <w:rPr>
                <w:color w:val="000000"/>
              </w:rPr>
              <w:t>uration (h)</w:t>
            </w:r>
          </w:p>
        </w:tc>
      </w:tr>
      <w:tr w:rsidR="00DC2B07" w:rsidRPr="00DC2B07" w14:paraId="426DF164" w14:textId="77777777" w:rsidTr="00B25BB3">
        <w:trPr>
          <w:trHeight w:val="300"/>
          <w:jc w:val="center"/>
        </w:trPr>
        <w:tc>
          <w:tcPr>
            <w:tcW w:w="1530" w:type="dxa"/>
            <w:tcBorders>
              <w:top w:val="single" w:sz="4" w:space="0" w:color="auto"/>
              <w:left w:val="nil"/>
              <w:bottom w:val="nil"/>
              <w:right w:val="nil"/>
            </w:tcBorders>
            <w:shd w:val="clear" w:color="auto" w:fill="auto"/>
            <w:noWrap/>
            <w:vAlign w:val="bottom"/>
            <w:hideMark/>
          </w:tcPr>
          <w:p w14:paraId="5904C9E7" w14:textId="77777777" w:rsidR="00CB3946" w:rsidRPr="00DC2B07" w:rsidRDefault="00CB3946" w:rsidP="00CB3946">
            <w:pPr>
              <w:jc w:val="center"/>
              <w:rPr>
                <w:color w:val="000000"/>
              </w:rPr>
            </w:pPr>
            <w:r w:rsidRPr="00DC2B07">
              <w:rPr>
                <w:color w:val="000000"/>
              </w:rPr>
              <w:t>1</w:t>
            </w:r>
          </w:p>
        </w:tc>
        <w:tc>
          <w:tcPr>
            <w:tcW w:w="1080" w:type="dxa"/>
            <w:tcBorders>
              <w:top w:val="single" w:sz="4" w:space="0" w:color="auto"/>
              <w:left w:val="nil"/>
              <w:bottom w:val="nil"/>
              <w:right w:val="nil"/>
            </w:tcBorders>
            <w:shd w:val="clear" w:color="auto" w:fill="auto"/>
            <w:noWrap/>
            <w:vAlign w:val="bottom"/>
            <w:hideMark/>
          </w:tcPr>
          <w:p w14:paraId="27C279D6" w14:textId="77777777" w:rsidR="00CB3946" w:rsidRPr="00DC2B07" w:rsidRDefault="00CB3946" w:rsidP="00CB3946">
            <w:pPr>
              <w:jc w:val="center"/>
              <w:rPr>
                <w:color w:val="000000"/>
              </w:rPr>
            </w:pPr>
            <w:r w:rsidRPr="00DC2B07">
              <w:rPr>
                <w:color w:val="000000"/>
              </w:rPr>
              <w:t>SS7</w:t>
            </w:r>
          </w:p>
        </w:tc>
        <w:tc>
          <w:tcPr>
            <w:tcW w:w="1080" w:type="dxa"/>
            <w:tcBorders>
              <w:top w:val="single" w:sz="4" w:space="0" w:color="auto"/>
              <w:left w:val="nil"/>
              <w:bottom w:val="nil"/>
              <w:right w:val="nil"/>
            </w:tcBorders>
            <w:shd w:val="clear" w:color="auto" w:fill="auto"/>
            <w:noWrap/>
            <w:vAlign w:val="bottom"/>
            <w:hideMark/>
          </w:tcPr>
          <w:p w14:paraId="6AC8D531" w14:textId="77777777" w:rsidR="00CB3946" w:rsidRPr="00DC2B07" w:rsidRDefault="00CB3946" w:rsidP="00CB3946">
            <w:pPr>
              <w:jc w:val="center"/>
              <w:rPr>
                <w:color w:val="000000"/>
              </w:rPr>
            </w:pPr>
            <w:r w:rsidRPr="00DC2B07">
              <w:rPr>
                <w:color w:val="000000"/>
              </w:rPr>
              <w:t>1</w:t>
            </w:r>
          </w:p>
        </w:tc>
        <w:tc>
          <w:tcPr>
            <w:tcW w:w="1440" w:type="dxa"/>
            <w:tcBorders>
              <w:top w:val="single" w:sz="4" w:space="0" w:color="auto"/>
              <w:left w:val="nil"/>
              <w:bottom w:val="nil"/>
              <w:right w:val="nil"/>
            </w:tcBorders>
            <w:shd w:val="clear" w:color="auto" w:fill="auto"/>
            <w:noWrap/>
            <w:vAlign w:val="bottom"/>
            <w:hideMark/>
          </w:tcPr>
          <w:p w14:paraId="35A79976" w14:textId="77777777" w:rsidR="00CB3946" w:rsidRPr="00DC2B07" w:rsidRDefault="00CB3946" w:rsidP="00CB3946">
            <w:pPr>
              <w:jc w:val="center"/>
              <w:rPr>
                <w:color w:val="000000"/>
              </w:rPr>
            </w:pPr>
            <w:r w:rsidRPr="00DC2B07">
              <w:rPr>
                <w:color w:val="000000"/>
              </w:rPr>
              <w:t>50.14</w:t>
            </w:r>
          </w:p>
        </w:tc>
        <w:tc>
          <w:tcPr>
            <w:tcW w:w="1620" w:type="dxa"/>
            <w:tcBorders>
              <w:top w:val="single" w:sz="4" w:space="0" w:color="auto"/>
              <w:left w:val="nil"/>
              <w:bottom w:val="nil"/>
              <w:right w:val="nil"/>
            </w:tcBorders>
            <w:shd w:val="clear" w:color="auto" w:fill="auto"/>
            <w:noWrap/>
            <w:vAlign w:val="bottom"/>
            <w:hideMark/>
          </w:tcPr>
          <w:p w14:paraId="79B703A1" w14:textId="3CF7AE09" w:rsidR="00CB3946" w:rsidRPr="00DC2B07" w:rsidRDefault="00DC2B07" w:rsidP="00CB3946">
            <w:pPr>
              <w:jc w:val="center"/>
              <w:rPr>
                <w:color w:val="000000"/>
              </w:rPr>
            </w:pPr>
            <w:r w:rsidRPr="00DC2B07">
              <w:rPr>
                <w:color w:val="000000"/>
              </w:rPr>
              <w:t>–</w:t>
            </w:r>
            <w:r w:rsidR="00CB3946" w:rsidRPr="00DC2B07">
              <w:rPr>
                <w:color w:val="000000"/>
              </w:rPr>
              <w:t>145.07</w:t>
            </w:r>
          </w:p>
        </w:tc>
        <w:tc>
          <w:tcPr>
            <w:tcW w:w="2340" w:type="dxa"/>
            <w:tcBorders>
              <w:top w:val="single" w:sz="4" w:space="0" w:color="auto"/>
              <w:left w:val="nil"/>
              <w:bottom w:val="nil"/>
              <w:right w:val="nil"/>
            </w:tcBorders>
            <w:shd w:val="clear" w:color="auto" w:fill="auto"/>
            <w:noWrap/>
            <w:vAlign w:val="bottom"/>
            <w:hideMark/>
          </w:tcPr>
          <w:p w14:paraId="7D13276E" w14:textId="77777777" w:rsidR="00CB3946" w:rsidRPr="00DC2B07" w:rsidRDefault="00CB3946" w:rsidP="00CB3946">
            <w:pPr>
              <w:jc w:val="center"/>
              <w:rPr>
                <w:color w:val="000000"/>
              </w:rPr>
            </w:pPr>
            <w:r w:rsidRPr="00DC2B07">
              <w:rPr>
                <w:color w:val="000000"/>
              </w:rPr>
              <w:t>15-Aug-18 8:15</w:t>
            </w:r>
          </w:p>
        </w:tc>
        <w:tc>
          <w:tcPr>
            <w:tcW w:w="1563" w:type="dxa"/>
            <w:tcBorders>
              <w:top w:val="single" w:sz="4" w:space="0" w:color="auto"/>
              <w:left w:val="nil"/>
              <w:bottom w:val="nil"/>
              <w:right w:val="nil"/>
            </w:tcBorders>
            <w:shd w:val="clear" w:color="auto" w:fill="auto"/>
            <w:noWrap/>
            <w:vAlign w:val="bottom"/>
            <w:hideMark/>
          </w:tcPr>
          <w:p w14:paraId="62DC8F2F" w14:textId="77777777" w:rsidR="00CB3946" w:rsidRPr="00DC2B07" w:rsidRDefault="00CB3946" w:rsidP="00CB3946">
            <w:pPr>
              <w:jc w:val="center"/>
              <w:rPr>
                <w:color w:val="000000"/>
              </w:rPr>
            </w:pPr>
            <w:r w:rsidRPr="00DC2B07">
              <w:rPr>
                <w:color w:val="000000"/>
              </w:rPr>
              <w:t>4</w:t>
            </w:r>
          </w:p>
        </w:tc>
      </w:tr>
      <w:tr w:rsidR="00DC2B07" w:rsidRPr="00DC2B07" w14:paraId="250831DA" w14:textId="77777777" w:rsidTr="00B25BB3">
        <w:trPr>
          <w:trHeight w:val="300"/>
          <w:jc w:val="center"/>
        </w:trPr>
        <w:tc>
          <w:tcPr>
            <w:tcW w:w="1530" w:type="dxa"/>
            <w:tcBorders>
              <w:top w:val="nil"/>
              <w:left w:val="nil"/>
              <w:bottom w:val="nil"/>
              <w:right w:val="nil"/>
            </w:tcBorders>
            <w:shd w:val="clear" w:color="auto" w:fill="auto"/>
            <w:noWrap/>
            <w:vAlign w:val="bottom"/>
            <w:hideMark/>
          </w:tcPr>
          <w:p w14:paraId="0ED251B6" w14:textId="77777777" w:rsidR="00CB3946" w:rsidRPr="00DC2B07" w:rsidRDefault="00CB3946" w:rsidP="00CB3946">
            <w:pPr>
              <w:jc w:val="center"/>
              <w:rPr>
                <w:color w:val="000000"/>
              </w:rPr>
            </w:pPr>
            <w:r w:rsidRPr="00DC2B07">
              <w:rPr>
                <w:color w:val="000000"/>
              </w:rPr>
              <w:t>2</w:t>
            </w:r>
          </w:p>
        </w:tc>
        <w:tc>
          <w:tcPr>
            <w:tcW w:w="1080" w:type="dxa"/>
            <w:tcBorders>
              <w:top w:val="nil"/>
              <w:left w:val="nil"/>
              <w:bottom w:val="nil"/>
              <w:right w:val="nil"/>
            </w:tcBorders>
            <w:shd w:val="clear" w:color="auto" w:fill="auto"/>
            <w:noWrap/>
            <w:vAlign w:val="bottom"/>
            <w:hideMark/>
          </w:tcPr>
          <w:p w14:paraId="3595786D" w14:textId="77777777" w:rsidR="00CB3946" w:rsidRPr="00DC2B07" w:rsidRDefault="00CB3946" w:rsidP="00CB3946">
            <w:pPr>
              <w:jc w:val="center"/>
              <w:rPr>
                <w:color w:val="000000"/>
              </w:rPr>
            </w:pPr>
            <w:r w:rsidRPr="00DC2B07">
              <w:rPr>
                <w:color w:val="000000"/>
              </w:rPr>
              <w:t>SS12</w:t>
            </w:r>
          </w:p>
        </w:tc>
        <w:tc>
          <w:tcPr>
            <w:tcW w:w="1080" w:type="dxa"/>
            <w:tcBorders>
              <w:top w:val="nil"/>
              <w:left w:val="nil"/>
              <w:bottom w:val="nil"/>
              <w:right w:val="nil"/>
            </w:tcBorders>
            <w:shd w:val="clear" w:color="auto" w:fill="auto"/>
            <w:noWrap/>
            <w:vAlign w:val="bottom"/>
            <w:hideMark/>
          </w:tcPr>
          <w:p w14:paraId="4239C81C" w14:textId="77777777" w:rsidR="00CB3946" w:rsidRPr="00DC2B07" w:rsidRDefault="00CB3946" w:rsidP="00CB3946">
            <w:pPr>
              <w:jc w:val="center"/>
              <w:rPr>
                <w:color w:val="000000"/>
              </w:rPr>
            </w:pPr>
            <w:r w:rsidRPr="00DC2B07">
              <w:rPr>
                <w:color w:val="000000"/>
              </w:rPr>
              <w:t>1</w:t>
            </w:r>
          </w:p>
        </w:tc>
        <w:tc>
          <w:tcPr>
            <w:tcW w:w="1440" w:type="dxa"/>
            <w:tcBorders>
              <w:top w:val="nil"/>
              <w:left w:val="nil"/>
              <w:bottom w:val="nil"/>
              <w:right w:val="nil"/>
            </w:tcBorders>
            <w:shd w:val="clear" w:color="auto" w:fill="auto"/>
            <w:noWrap/>
            <w:vAlign w:val="bottom"/>
            <w:hideMark/>
          </w:tcPr>
          <w:p w14:paraId="3DBEC432" w14:textId="77777777" w:rsidR="00CB3946" w:rsidRPr="00DC2B07" w:rsidRDefault="00CB3946" w:rsidP="00CB3946">
            <w:pPr>
              <w:jc w:val="center"/>
              <w:rPr>
                <w:color w:val="000000"/>
              </w:rPr>
            </w:pPr>
            <w:r w:rsidRPr="00DC2B07">
              <w:rPr>
                <w:color w:val="000000"/>
              </w:rPr>
              <w:t>50.11</w:t>
            </w:r>
          </w:p>
        </w:tc>
        <w:tc>
          <w:tcPr>
            <w:tcW w:w="1620" w:type="dxa"/>
            <w:tcBorders>
              <w:top w:val="nil"/>
              <w:left w:val="nil"/>
              <w:bottom w:val="nil"/>
              <w:right w:val="nil"/>
            </w:tcBorders>
            <w:shd w:val="clear" w:color="auto" w:fill="auto"/>
            <w:noWrap/>
            <w:vAlign w:val="bottom"/>
            <w:hideMark/>
          </w:tcPr>
          <w:p w14:paraId="5A798CD3" w14:textId="04B077C5" w:rsidR="00CB3946" w:rsidRPr="00DC2B07" w:rsidRDefault="00DC2B07" w:rsidP="00CB3946">
            <w:pPr>
              <w:jc w:val="center"/>
              <w:rPr>
                <w:color w:val="000000"/>
              </w:rPr>
            </w:pPr>
            <w:r w:rsidRPr="00DC2B07">
              <w:rPr>
                <w:color w:val="000000"/>
              </w:rPr>
              <w:t>–</w:t>
            </w:r>
            <w:r w:rsidR="00CB3946" w:rsidRPr="00DC2B07">
              <w:rPr>
                <w:color w:val="000000"/>
              </w:rPr>
              <w:t>144.97</w:t>
            </w:r>
          </w:p>
        </w:tc>
        <w:tc>
          <w:tcPr>
            <w:tcW w:w="2340" w:type="dxa"/>
            <w:tcBorders>
              <w:top w:val="nil"/>
              <w:left w:val="nil"/>
              <w:bottom w:val="nil"/>
              <w:right w:val="nil"/>
            </w:tcBorders>
            <w:shd w:val="clear" w:color="auto" w:fill="auto"/>
            <w:noWrap/>
            <w:vAlign w:val="bottom"/>
            <w:hideMark/>
          </w:tcPr>
          <w:p w14:paraId="041C729E" w14:textId="77777777" w:rsidR="00CB3946" w:rsidRPr="00DC2B07" w:rsidRDefault="00CB3946" w:rsidP="00CB3946">
            <w:pPr>
              <w:jc w:val="center"/>
              <w:rPr>
                <w:color w:val="000000"/>
              </w:rPr>
            </w:pPr>
            <w:r w:rsidRPr="00DC2B07">
              <w:rPr>
                <w:color w:val="000000"/>
              </w:rPr>
              <w:t>16-Aug-18 6:59</w:t>
            </w:r>
          </w:p>
        </w:tc>
        <w:tc>
          <w:tcPr>
            <w:tcW w:w="1563" w:type="dxa"/>
            <w:tcBorders>
              <w:top w:val="nil"/>
              <w:left w:val="nil"/>
              <w:bottom w:val="nil"/>
              <w:right w:val="nil"/>
            </w:tcBorders>
            <w:shd w:val="clear" w:color="auto" w:fill="auto"/>
            <w:noWrap/>
            <w:vAlign w:val="bottom"/>
            <w:hideMark/>
          </w:tcPr>
          <w:p w14:paraId="5265C375" w14:textId="77777777" w:rsidR="00CB3946" w:rsidRPr="00DC2B07" w:rsidRDefault="00CB3946" w:rsidP="00CB3946">
            <w:pPr>
              <w:jc w:val="center"/>
              <w:rPr>
                <w:color w:val="000000"/>
              </w:rPr>
            </w:pPr>
            <w:r w:rsidRPr="00DC2B07">
              <w:rPr>
                <w:color w:val="000000"/>
              </w:rPr>
              <w:t>4</w:t>
            </w:r>
          </w:p>
        </w:tc>
      </w:tr>
      <w:tr w:rsidR="00DC2B07" w:rsidRPr="00DC2B07" w14:paraId="3BE750FC" w14:textId="77777777" w:rsidTr="00B25BB3">
        <w:trPr>
          <w:trHeight w:val="300"/>
          <w:jc w:val="center"/>
        </w:trPr>
        <w:tc>
          <w:tcPr>
            <w:tcW w:w="1530" w:type="dxa"/>
            <w:tcBorders>
              <w:top w:val="nil"/>
              <w:left w:val="nil"/>
              <w:bottom w:val="nil"/>
              <w:right w:val="nil"/>
            </w:tcBorders>
            <w:shd w:val="clear" w:color="auto" w:fill="auto"/>
            <w:noWrap/>
            <w:vAlign w:val="bottom"/>
            <w:hideMark/>
          </w:tcPr>
          <w:p w14:paraId="466D4393" w14:textId="77777777" w:rsidR="00CB3946" w:rsidRPr="00DC2B07" w:rsidRDefault="00CB3946" w:rsidP="00CB3946">
            <w:pPr>
              <w:jc w:val="center"/>
              <w:rPr>
                <w:color w:val="000000"/>
              </w:rPr>
            </w:pPr>
            <w:r w:rsidRPr="00DC2B07">
              <w:rPr>
                <w:color w:val="000000"/>
              </w:rPr>
              <w:t>3</w:t>
            </w:r>
          </w:p>
        </w:tc>
        <w:tc>
          <w:tcPr>
            <w:tcW w:w="1080" w:type="dxa"/>
            <w:tcBorders>
              <w:top w:val="nil"/>
              <w:left w:val="nil"/>
              <w:bottom w:val="nil"/>
              <w:right w:val="nil"/>
            </w:tcBorders>
            <w:shd w:val="clear" w:color="auto" w:fill="auto"/>
            <w:noWrap/>
            <w:vAlign w:val="bottom"/>
            <w:hideMark/>
          </w:tcPr>
          <w:p w14:paraId="68C62DE6" w14:textId="77777777" w:rsidR="00CB3946" w:rsidRPr="00DC2B07" w:rsidRDefault="00CB3946" w:rsidP="00CB3946">
            <w:pPr>
              <w:jc w:val="center"/>
              <w:rPr>
                <w:color w:val="000000"/>
              </w:rPr>
            </w:pPr>
            <w:r w:rsidRPr="00DC2B07">
              <w:rPr>
                <w:color w:val="000000"/>
              </w:rPr>
              <w:t>SS11</w:t>
            </w:r>
          </w:p>
        </w:tc>
        <w:tc>
          <w:tcPr>
            <w:tcW w:w="1080" w:type="dxa"/>
            <w:tcBorders>
              <w:top w:val="nil"/>
              <w:left w:val="nil"/>
              <w:bottom w:val="nil"/>
              <w:right w:val="nil"/>
            </w:tcBorders>
            <w:shd w:val="clear" w:color="auto" w:fill="auto"/>
            <w:noWrap/>
            <w:vAlign w:val="bottom"/>
            <w:hideMark/>
          </w:tcPr>
          <w:p w14:paraId="15DBC60C" w14:textId="77777777" w:rsidR="00CB3946" w:rsidRPr="00DC2B07" w:rsidRDefault="00CB3946" w:rsidP="00CB3946">
            <w:pPr>
              <w:jc w:val="center"/>
              <w:rPr>
                <w:color w:val="000000"/>
              </w:rPr>
            </w:pPr>
            <w:r w:rsidRPr="00DC2B07">
              <w:rPr>
                <w:color w:val="000000"/>
              </w:rPr>
              <w:t>1</w:t>
            </w:r>
          </w:p>
        </w:tc>
        <w:tc>
          <w:tcPr>
            <w:tcW w:w="1440" w:type="dxa"/>
            <w:tcBorders>
              <w:top w:val="nil"/>
              <w:left w:val="nil"/>
              <w:bottom w:val="nil"/>
              <w:right w:val="nil"/>
            </w:tcBorders>
            <w:shd w:val="clear" w:color="auto" w:fill="auto"/>
            <w:noWrap/>
            <w:vAlign w:val="bottom"/>
            <w:hideMark/>
          </w:tcPr>
          <w:p w14:paraId="2B4966A5" w14:textId="77777777" w:rsidR="00CB3946" w:rsidRPr="00DC2B07" w:rsidRDefault="00CB3946" w:rsidP="00CB3946">
            <w:pPr>
              <w:jc w:val="center"/>
              <w:rPr>
                <w:color w:val="000000"/>
              </w:rPr>
            </w:pPr>
            <w:r w:rsidRPr="00DC2B07">
              <w:rPr>
                <w:color w:val="000000"/>
              </w:rPr>
              <w:t>50.05</w:t>
            </w:r>
          </w:p>
        </w:tc>
        <w:tc>
          <w:tcPr>
            <w:tcW w:w="1620" w:type="dxa"/>
            <w:tcBorders>
              <w:top w:val="nil"/>
              <w:left w:val="nil"/>
              <w:bottom w:val="nil"/>
              <w:right w:val="nil"/>
            </w:tcBorders>
            <w:shd w:val="clear" w:color="auto" w:fill="auto"/>
            <w:noWrap/>
            <w:vAlign w:val="bottom"/>
            <w:hideMark/>
          </w:tcPr>
          <w:p w14:paraId="39F388D4" w14:textId="7BF34ACC" w:rsidR="00CB3946" w:rsidRPr="00DC2B07" w:rsidRDefault="00DC2B07" w:rsidP="00CB3946">
            <w:pPr>
              <w:jc w:val="center"/>
              <w:rPr>
                <w:color w:val="000000"/>
              </w:rPr>
            </w:pPr>
            <w:r w:rsidRPr="00DC2B07">
              <w:rPr>
                <w:color w:val="000000"/>
              </w:rPr>
              <w:t>–</w:t>
            </w:r>
            <w:r w:rsidR="00CB3946" w:rsidRPr="00DC2B07">
              <w:rPr>
                <w:color w:val="000000"/>
              </w:rPr>
              <w:t>145.03</w:t>
            </w:r>
          </w:p>
        </w:tc>
        <w:tc>
          <w:tcPr>
            <w:tcW w:w="2340" w:type="dxa"/>
            <w:tcBorders>
              <w:top w:val="nil"/>
              <w:left w:val="nil"/>
              <w:bottom w:val="nil"/>
              <w:right w:val="nil"/>
            </w:tcBorders>
            <w:shd w:val="clear" w:color="auto" w:fill="auto"/>
            <w:noWrap/>
            <w:vAlign w:val="bottom"/>
            <w:hideMark/>
          </w:tcPr>
          <w:p w14:paraId="4ED51265" w14:textId="77777777" w:rsidR="00CB3946" w:rsidRPr="00DC2B07" w:rsidRDefault="00CB3946" w:rsidP="00CB3946">
            <w:pPr>
              <w:jc w:val="center"/>
              <w:rPr>
                <w:color w:val="000000"/>
              </w:rPr>
            </w:pPr>
            <w:r w:rsidRPr="00DC2B07">
              <w:rPr>
                <w:color w:val="000000"/>
              </w:rPr>
              <w:t>17-Aug-18 8:08</w:t>
            </w:r>
          </w:p>
        </w:tc>
        <w:tc>
          <w:tcPr>
            <w:tcW w:w="1563" w:type="dxa"/>
            <w:tcBorders>
              <w:top w:val="nil"/>
              <w:left w:val="nil"/>
              <w:bottom w:val="nil"/>
              <w:right w:val="nil"/>
            </w:tcBorders>
            <w:shd w:val="clear" w:color="auto" w:fill="auto"/>
            <w:noWrap/>
            <w:vAlign w:val="bottom"/>
            <w:hideMark/>
          </w:tcPr>
          <w:p w14:paraId="5F2F7D50" w14:textId="77777777" w:rsidR="00CB3946" w:rsidRPr="00DC2B07" w:rsidRDefault="00CB3946" w:rsidP="00CB3946">
            <w:pPr>
              <w:jc w:val="center"/>
              <w:rPr>
                <w:color w:val="000000"/>
              </w:rPr>
            </w:pPr>
            <w:r w:rsidRPr="00DC2B07">
              <w:rPr>
                <w:color w:val="000000"/>
              </w:rPr>
              <w:t>5</w:t>
            </w:r>
          </w:p>
        </w:tc>
      </w:tr>
      <w:tr w:rsidR="00DC2B07" w:rsidRPr="00DC2B07" w14:paraId="1B70869C" w14:textId="77777777" w:rsidTr="00B25BB3">
        <w:trPr>
          <w:trHeight w:val="300"/>
          <w:jc w:val="center"/>
        </w:trPr>
        <w:tc>
          <w:tcPr>
            <w:tcW w:w="1530" w:type="dxa"/>
            <w:tcBorders>
              <w:top w:val="nil"/>
              <w:left w:val="nil"/>
              <w:bottom w:val="nil"/>
              <w:right w:val="nil"/>
            </w:tcBorders>
            <w:shd w:val="clear" w:color="auto" w:fill="auto"/>
            <w:noWrap/>
            <w:vAlign w:val="bottom"/>
            <w:hideMark/>
          </w:tcPr>
          <w:p w14:paraId="341AB51B" w14:textId="77777777" w:rsidR="00CB3946" w:rsidRPr="00DC2B07" w:rsidRDefault="00CB3946" w:rsidP="00CB3946">
            <w:pPr>
              <w:jc w:val="center"/>
              <w:rPr>
                <w:color w:val="000000"/>
              </w:rPr>
            </w:pPr>
            <w:r w:rsidRPr="00DC2B07">
              <w:rPr>
                <w:color w:val="000000"/>
              </w:rPr>
              <w:t>4</w:t>
            </w:r>
          </w:p>
        </w:tc>
        <w:tc>
          <w:tcPr>
            <w:tcW w:w="1080" w:type="dxa"/>
            <w:tcBorders>
              <w:top w:val="nil"/>
              <w:left w:val="nil"/>
              <w:bottom w:val="nil"/>
              <w:right w:val="nil"/>
            </w:tcBorders>
            <w:shd w:val="clear" w:color="auto" w:fill="auto"/>
            <w:noWrap/>
            <w:vAlign w:val="bottom"/>
            <w:hideMark/>
          </w:tcPr>
          <w:p w14:paraId="7FA29350" w14:textId="77777777" w:rsidR="00CB3946" w:rsidRPr="00DC2B07" w:rsidRDefault="00CB3946" w:rsidP="00CB3946">
            <w:pPr>
              <w:jc w:val="center"/>
              <w:rPr>
                <w:color w:val="000000"/>
              </w:rPr>
            </w:pPr>
            <w:r w:rsidRPr="00DC2B07">
              <w:rPr>
                <w:color w:val="000000"/>
              </w:rPr>
              <w:t>SS8</w:t>
            </w:r>
          </w:p>
        </w:tc>
        <w:tc>
          <w:tcPr>
            <w:tcW w:w="1080" w:type="dxa"/>
            <w:tcBorders>
              <w:top w:val="nil"/>
              <w:left w:val="nil"/>
              <w:bottom w:val="nil"/>
              <w:right w:val="nil"/>
            </w:tcBorders>
            <w:shd w:val="clear" w:color="auto" w:fill="auto"/>
            <w:noWrap/>
            <w:vAlign w:val="bottom"/>
            <w:hideMark/>
          </w:tcPr>
          <w:p w14:paraId="1AFA6158" w14:textId="77777777" w:rsidR="00CB3946" w:rsidRPr="00DC2B07" w:rsidRDefault="00CB3946" w:rsidP="00CB3946">
            <w:pPr>
              <w:jc w:val="center"/>
              <w:rPr>
                <w:color w:val="000000"/>
              </w:rPr>
            </w:pPr>
            <w:r w:rsidRPr="00DC2B07">
              <w:rPr>
                <w:color w:val="000000"/>
              </w:rPr>
              <w:t>1</w:t>
            </w:r>
          </w:p>
        </w:tc>
        <w:tc>
          <w:tcPr>
            <w:tcW w:w="1440" w:type="dxa"/>
            <w:tcBorders>
              <w:top w:val="nil"/>
              <w:left w:val="nil"/>
              <w:bottom w:val="nil"/>
              <w:right w:val="nil"/>
            </w:tcBorders>
            <w:shd w:val="clear" w:color="auto" w:fill="auto"/>
            <w:noWrap/>
            <w:vAlign w:val="bottom"/>
            <w:hideMark/>
          </w:tcPr>
          <w:p w14:paraId="12753B6C" w14:textId="77777777" w:rsidR="00CB3946" w:rsidRPr="00DC2B07" w:rsidRDefault="00CB3946" w:rsidP="00CB3946">
            <w:pPr>
              <w:jc w:val="center"/>
              <w:rPr>
                <w:color w:val="000000"/>
              </w:rPr>
            </w:pPr>
            <w:r w:rsidRPr="00DC2B07">
              <w:rPr>
                <w:color w:val="000000"/>
              </w:rPr>
              <w:t>50.08</w:t>
            </w:r>
          </w:p>
        </w:tc>
        <w:tc>
          <w:tcPr>
            <w:tcW w:w="1620" w:type="dxa"/>
            <w:tcBorders>
              <w:top w:val="nil"/>
              <w:left w:val="nil"/>
              <w:bottom w:val="nil"/>
              <w:right w:val="nil"/>
            </w:tcBorders>
            <w:shd w:val="clear" w:color="auto" w:fill="auto"/>
            <w:noWrap/>
            <w:vAlign w:val="bottom"/>
            <w:hideMark/>
          </w:tcPr>
          <w:p w14:paraId="36755888" w14:textId="14B37BA2" w:rsidR="00CB3946" w:rsidRPr="00DC2B07" w:rsidRDefault="00DC2B07" w:rsidP="00CB3946">
            <w:pPr>
              <w:jc w:val="center"/>
              <w:rPr>
                <w:color w:val="000000"/>
              </w:rPr>
            </w:pPr>
            <w:r w:rsidRPr="00DC2B07">
              <w:rPr>
                <w:color w:val="000000"/>
              </w:rPr>
              <w:t>–</w:t>
            </w:r>
            <w:r w:rsidR="00CB3946" w:rsidRPr="00DC2B07">
              <w:rPr>
                <w:color w:val="000000"/>
              </w:rPr>
              <w:t>145.13</w:t>
            </w:r>
          </w:p>
        </w:tc>
        <w:tc>
          <w:tcPr>
            <w:tcW w:w="2340" w:type="dxa"/>
            <w:tcBorders>
              <w:top w:val="nil"/>
              <w:left w:val="nil"/>
              <w:bottom w:val="nil"/>
              <w:right w:val="nil"/>
            </w:tcBorders>
            <w:shd w:val="clear" w:color="auto" w:fill="auto"/>
            <w:noWrap/>
            <w:vAlign w:val="bottom"/>
            <w:hideMark/>
          </w:tcPr>
          <w:p w14:paraId="4ED21905" w14:textId="77777777" w:rsidR="00CB3946" w:rsidRPr="00DC2B07" w:rsidRDefault="00CB3946" w:rsidP="00CB3946">
            <w:pPr>
              <w:jc w:val="center"/>
              <w:rPr>
                <w:color w:val="000000"/>
              </w:rPr>
            </w:pPr>
            <w:r w:rsidRPr="00DC2B07">
              <w:rPr>
                <w:color w:val="000000"/>
              </w:rPr>
              <w:t>18-Aug-18 7:06</w:t>
            </w:r>
          </w:p>
        </w:tc>
        <w:tc>
          <w:tcPr>
            <w:tcW w:w="1563" w:type="dxa"/>
            <w:tcBorders>
              <w:top w:val="nil"/>
              <w:left w:val="nil"/>
              <w:bottom w:val="nil"/>
              <w:right w:val="nil"/>
            </w:tcBorders>
            <w:shd w:val="clear" w:color="auto" w:fill="auto"/>
            <w:noWrap/>
            <w:vAlign w:val="bottom"/>
            <w:hideMark/>
          </w:tcPr>
          <w:p w14:paraId="6D16B6D2" w14:textId="77777777" w:rsidR="00CB3946" w:rsidRPr="00DC2B07" w:rsidRDefault="00CB3946" w:rsidP="00CB3946">
            <w:pPr>
              <w:jc w:val="center"/>
              <w:rPr>
                <w:color w:val="000000"/>
              </w:rPr>
            </w:pPr>
            <w:r w:rsidRPr="00DC2B07">
              <w:rPr>
                <w:color w:val="000000"/>
              </w:rPr>
              <w:t>4</w:t>
            </w:r>
          </w:p>
        </w:tc>
      </w:tr>
      <w:tr w:rsidR="00DC2B07" w:rsidRPr="00DC2B07" w14:paraId="6AB04105" w14:textId="77777777" w:rsidTr="00B25BB3">
        <w:trPr>
          <w:trHeight w:val="300"/>
          <w:jc w:val="center"/>
        </w:trPr>
        <w:tc>
          <w:tcPr>
            <w:tcW w:w="1530" w:type="dxa"/>
            <w:tcBorders>
              <w:top w:val="nil"/>
              <w:left w:val="nil"/>
              <w:bottom w:val="nil"/>
              <w:right w:val="nil"/>
            </w:tcBorders>
            <w:shd w:val="clear" w:color="auto" w:fill="auto"/>
            <w:noWrap/>
            <w:vAlign w:val="bottom"/>
            <w:hideMark/>
          </w:tcPr>
          <w:p w14:paraId="46E8CCF0" w14:textId="77777777" w:rsidR="00CB3946" w:rsidRPr="00DC2B07" w:rsidRDefault="00CB3946" w:rsidP="00CB3946">
            <w:pPr>
              <w:jc w:val="center"/>
              <w:rPr>
                <w:color w:val="000000"/>
              </w:rPr>
            </w:pPr>
            <w:r w:rsidRPr="00DC2B07">
              <w:rPr>
                <w:color w:val="000000"/>
              </w:rPr>
              <w:t>5</w:t>
            </w:r>
          </w:p>
        </w:tc>
        <w:tc>
          <w:tcPr>
            <w:tcW w:w="1080" w:type="dxa"/>
            <w:tcBorders>
              <w:top w:val="nil"/>
              <w:left w:val="nil"/>
              <w:bottom w:val="nil"/>
              <w:right w:val="nil"/>
            </w:tcBorders>
            <w:shd w:val="clear" w:color="auto" w:fill="auto"/>
            <w:noWrap/>
            <w:vAlign w:val="bottom"/>
            <w:hideMark/>
          </w:tcPr>
          <w:p w14:paraId="6C0AEADA" w14:textId="77777777" w:rsidR="00CB3946" w:rsidRPr="00DC2B07" w:rsidRDefault="00CB3946" w:rsidP="00CB3946">
            <w:pPr>
              <w:jc w:val="center"/>
              <w:rPr>
                <w:color w:val="000000"/>
              </w:rPr>
            </w:pPr>
            <w:r w:rsidRPr="00DC2B07">
              <w:rPr>
                <w:color w:val="000000"/>
              </w:rPr>
              <w:t>LS3</w:t>
            </w:r>
          </w:p>
        </w:tc>
        <w:tc>
          <w:tcPr>
            <w:tcW w:w="1080" w:type="dxa"/>
            <w:tcBorders>
              <w:top w:val="nil"/>
              <w:left w:val="nil"/>
              <w:bottom w:val="nil"/>
              <w:right w:val="nil"/>
            </w:tcBorders>
            <w:shd w:val="clear" w:color="auto" w:fill="auto"/>
            <w:noWrap/>
            <w:vAlign w:val="bottom"/>
            <w:hideMark/>
          </w:tcPr>
          <w:p w14:paraId="79E09AF6" w14:textId="77777777" w:rsidR="00CB3946" w:rsidRPr="00DC2B07" w:rsidRDefault="00CB3946" w:rsidP="00CB3946">
            <w:pPr>
              <w:jc w:val="center"/>
              <w:rPr>
                <w:color w:val="000000"/>
              </w:rPr>
            </w:pPr>
            <w:r w:rsidRPr="00DC2B07">
              <w:rPr>
                <w:color w:val="000000"/>
              </w:rPr>
              <w:t>2</w:t>
            </w:r>
          </w:p>
        </w:tc>
        <w:tc>
          <w:tcPr>
            <w:tcW w:w="1440" w:type="dxa"/>
            <w:tcBorders>
              <w:top w:val="nil"/>
              <w:left w:val="nil"/>
              <w:bottom w:val="nil"/>
              <w:right w:val="nil"/>
            </w:tcBorders>
            <w:shd w:val="clear" w:color="auto" w:fill="auto"/>
            <w:noWrap/>
            <w:vAlign w:val="bottom"/>
            <w:hideMark/>
          </w:tcPr>
          <w:p w14:paraId="38A5D39E" w14:textId="77777777" w:rsidR="00CB3946" w:rsidRPr="00DC2B07" w:rsidRDefault="00CB3946" w:rsidP="00CB3946">
            <w:pPr>
              <w:jc w:val="center"/>
              <w:rPr>
                <w:color w:val="000000"/>
              </w:rPr>
            </w:pPr>
            <w:r w:rsidRPr="00DC2B07">
              <w:rPr>
                <w:color w:val="000000"/>
              </w:rPr>
              <w:t>50.23</w:t>
            </w:r>
          </w:p>
        </w:tc>
        <w:tc>
          <w:tcPr>
            <w:tcW w:w="1620" w:type="dxa"/>
            <w:tcBorders>
              <w:top w:val="nil"/>
              <w:left w:val="nil"/>
              <w:bottom w:val="nil"/>
              <w:right w:val="nil"/>
            </w:tcBorders>
            <w:shd w:val="clear" w:color="auto" w:fill="auto"/>
            <w:noWrap/>
            <w:vAlign w:val="bottom"/>
            <w:hideMark/>
          </w:tcPr>
          <w:p w14:paraId="4CB41ECD" w14:textId="7E5B964B" w:rsidR="00CB3946" w:rsidRPr="00DC2B07" w:rsidRDefault="00DC2B07" w:rsidP="00CB3946">
            <w:pPr>
              <w:jc w:val="center"/>
              <w:rPr>
                <w:color w:val="000000"/>
              </w:rPr>
            </w:pPr>
            <w:r w:rsidRPr="00DC2B07">
              <w:rPr>
                <w:color w:val="000000"/>
              </w:rPr>
              <w:t>–</w:t>
            </w:r>
            <w:r w:rsidR="00CB3946" w:rsidRPr="00DC2B07">
              <w:rPr>
                <w:color w:val="000000"/>
              </w:rPr>
              <w:t>145.50</w:t>
            </w:r>
          </w:p>
        </w:tc>
        <w:tc>
          <w:tcPr>
            <w:tcW w:w="2340" w:type="dxa"/>
            <w:tcBorders>
              <w:top w:val="nil"/>
              <w:left w:val="nil"/>
              <w:bottom w:val="nil"/>
              <w:right w:val="nil"/>
            </w:tcBorders>
            <w:shd w:val="clear" w:color="auto" w:fill="auto"/>
            <w:noWrap/>
            <w:vAlign w:val="bottom"/>
            <w:hideMark/>
          </w:tcPr>
          <w:p w14:paraId="350E8679" w14:textId="77777777" w:rsidR="00CB3946" w:rsidRPr="00DC2B07" w:rsidRDefault="00CB3946" w:rsidP="00CB3946">
            <w:pPr>
              <w:jc w:val="center"/>
              <w:rPr>
                <w:color w:val="000000"/>
              </w:rPr>
            </w:pPr>
            <w:r w:rsidRPr="00DC2B07">
              <w:rPr>
                <w:color w:val="000000"/>
              </w:rPr>
              <w:t>22-Aug-18 9:37</w:t>
            </w:r>
          </w:p>
        </w:tc>
        <w:tc>
          <w:tcPr>
            <w:tcW w:w="1563" w:type="dxa"/>
            <w:tcBorders>
              <w:top w:val="nil"/>
              <w:left w:val="nil"/>
              <w:bottom w:val="nil"/>
              <w:right w:val="nil"/>
            </w:tcBorders>
            <w:shd w:val="clear" w:color="auto" w:fill="auto"/>
            <w:noWrap/>
            <w:vAlign w:val="bottom"/>
            <w:hideMark/>
          </w:tcPr>
          <w:p w14:paraId="0949AE4C" w14:textId="77777777" w:rsidR="00CB3946" w:rsidRPr="00DC2B07" w:rsidRDefault="00CB3946" w:rsidP="00CB3946">
            <w:pPr>
              <w:jc w:val="center"/>
              <w:rPr>
                <w:color w:val="000000"/>
              </w:rPr>
            </w:pPr>
            <w:r w:rsidRPr="00DC2B07">
              <w:rPr>
                <w:color w:val="000000"/>
              </w:rPr>
              <w:t>4</w:t>
            </w:r>
          </w:p>
        </w:tc>
      </w:tr>
      <w:tr w:rsidR="00DC2B07" w:rsidRPr="00DC2B07" w14:paraId="6C2F49CF" w14:textId="77777777" w:rsidTr="00B25BB3">
        <w:trPr>
          <w:trHeight w:val="300"/>
          <w:jc w:val="center"/>
        </w:trPr>
        <w:tc>
          <w:tcPr>
            <w:tcW w:w="1530" w:type="dxa"/>
            <w:tcBorders>
              <w:top w:val="nil"/>
              <w:left w:val="nil"/>
              <w:bottom w:val="nil"/>
              <w:right w:val="nil"/>
            </w:tcBorders>
            <w:shd w:val="clear" w:color="auto" w:fill="auto"/>
            <w:noWrap/>
            <w:vAlign w:val="bottom"/>
            <w:hideMark/>
          </w:tcPr>
          <w:p w14:paraId="06BB4B7D" w14:textId="77777777" w:rsidR="00CB3946" w:rsidRPr="00DC2B07" w:rsidRDefault="00CB3946" w:rsidP="00CB3946">
            <w:pPr>
              <w:jc w:val="center"/>
              <w:rPr>
                <w:color w:val="000000"/>
              </w:rPr>
            </w:pPr>
            <w:r w:rsidRPr="00DC2B07">
              <w:rPr>
                <w:color w:val="000000"/>
              </w:rPr>
              <w:t>6</w:t>
            </w:r>
          </w:p>
        </w:tc>
        <w:tc>
          <w:tcPr>
            <w:tcW w:w="1080" w:type="dxa"/>
            <w:tcBorders>
              <w:top w:val="nil"/>
              <w:left w:val="nil"/>
              <w:bottom w:val="nil"/>
              <w:right w:val="nil"/>
            </w:tcBorders>
            <w:shd w:val="clear" w:color="auto" w:fill="auto"/>
            <w:noWrap/>
            <w:vAlign w:val="bottom"/>
            <w:hideMark/>
          </w:tcPr>
          <w:p w14:paraId="5A4BB8C0" w14:textId="77777777" w:rsidR="00CB3946" w:rsidRPr="00DC2B07" w:rsidRDefault="00CB3946" w:rsidP="00CB3946">
            <w:pPr>
              <w:jc w:val="center"/>
              <w:rPr>
                <w:color w:val="000000"/>
              </w:rPr>
            </w:pPr>
            <w:r w:rsidRPr="00DC2B07">
              <w:rPr>
                <w:color w:val="000000"/>
              </w:rPr>
              <w:t>LS9</w:t>
            </w:r>
          </w:p>
        </w:tc>
        <w:tc>
          <w:tcPr>
            <w:tcW w:w="1080" w:type="dxa"/>
            <w:tcBorders>
              <w:top w:val="nil"/>
              <w:left w:val="nil"/>
              <w:bottom w:val="nil"/>
              <w:right w:val="nil"/>
            </w:tcBorders>
            <w:shd w:val="clear" w:color="auto" w:fill="auto"/>
            <w:noWrap/>
            <w:vAlign w:val="bottom"/>
            <w:hideMark/>
          </w:tcPr>
          <w:p w14:paraId="25FB7C63" w14:textId="77777777" w:rsidR="00CB3946" w:rsidRPr="00DC2B07" w:rsidRDefault="00CB3946" w:rsidP="00CB3946">
            <w:pPr>
              <w:jc w:val="center"/>
              <w:rPr>
                <w:color w:val="000000"/>
              </w:rPr>
            </w:pPr>
            <w:r w:rsidRPr="00DC2B07">
              <w:rPr>
                <w:color w:val="000000"/>
              </w:rPr>
              <w:t>2</w:t>
            </w:r>
          </w:p>
        </w:tc>
        <w:tc>
          <w:tcPr>
            <w:tcW w:w="1440" w:type="dxa"/>
            <w:tcBorders>
              <w:top w:val="nil"/>
              <w:left w:val="nil"/>
              <w:bottom w:val="nil"/>
              <w:right w:val="nil"/>
            </w:tcBorders>
            <w:shd w:val="clear" w:color="auto" w:fill="auto"/>
            <w:noWrap/>
            <w:vAlign w:val="bottom"/>
            <w:hideMark/>
          </w:tcPr>
          <w:p w14:paraId="3BDFA540" w14:textId="77777777" w:rsidR="00CB3946" w:rsidRPr="00DC2B07" w:rsidRDefault="00CB3946" w:rsidP="00CB3946">
            <w:pPr>
              <w:jc w:val="center"/>
              <w:rPr>
                <w:color w:val="000000"/>
              </w:rPr>
            </w:pPr>
            <w:r w:rsidRPr="00DC2B07">
              <w:rPr>
                <w:color w:val="000000"/>
              </w:rPr>
              <w:t>50.10</w:t>
            </w:r>
          </w:p>
        </w:tc>
        <w:tc>
          <w:tcPr>
            <w:tcW w:w="1620" w:type="dxa"/>
            <w:tcBorders>
              <w:top w:val="nil"/>
              <w:left w:val="nil"/>
              <w:bottom w:val="nil"/>
              <w:right w:val="nil"/>
            </w:tcBorders>
            <w:shd w:val="clear" w:color="auto" w:fill="auto"/>
            <w:noWrap/>
            <w:vAlign w:val="bottom"/>
            <w:hideMark/>
          </w:tcPr>
          <w:p w14:paraId="0DD36670" w14:textId="497B9E48" w:rsidR="00CB3946" w:rsidRPr="00DC2B07" w:rsidRDefault="00DC2B07" w:rsidP="00CB3946">
            <w:pPr>
              <w:jc w:val="center"/>
              <w:rPr>
                <w:color w:val="000000"/>
              </w:rPr>
            </w:pPr>
            <w:r w:rsidRPr="00DC2B07">
              <w:rPr>
                <w:color w:val="000000"/>
              </w:rPr>
              <w:t>–</w:t>
            </w:r>
            <w:r w:rsidR="00CB3946" w:rsidRPr="00DC2B07">
              <w:rPr>
                <w:color w:val="000000"/>
              </w:rPr>
              <w:t>144.94</w:t>
            </w:r>
          </w:p>
        </w:tc>
        <w:tc>
          <w:tcPr>
            <w:tcW w:w="2340" w:type="dxa"/>
            <w:tcBorders>
              <w:top w:val="nil"/>
              <w:left w:val="nil"/>
              <w:bottom w:val="nil"/>
              <w:right w:val="nil"/>
            </w:tcBorders>
            <w:shd w:val="clear" w:color="auto" w:fill="auto"/>
            <w:noWrap/>
            <w:vAlign w:val="bottom"/>
            <w:hideMark/>
          </w:tcPr>
          <w:p w14:paraId="020D9688" w14:textId="77777777" w:rsidR="00CB3946" w:rsidRPr="00DC2B07" w:rsidRDefault="00CB3946" w:rsidP="00CB3946">
            <w:pPr>
              <w:jc w:val="center"/>
              <w:rPr>
                <w:color w:val="000000"/>
              </w:rPr>
            </w:pPr>
            <w:r w:rsidRPr="00DC2B07">
              <w:rPr>
                <w:color w:val="000000"/>
              </w:rPr>
              <w:t>23-Aug-18 6:17</w:t>
            </w:r>
          </w:p>
        </w:tc>
        <w:tc>
          <w:tcPr>
            <w:tcW w:w="1563" w:type="dxa"/>
            <w:tcBorders>
              <w:top w:val="nil"/>
              <w:left w:val="nil"/>
              <w:bottom w:val="nil"/>
              <w:right w:val="nil"/>
            </w:tcBorders>
            <w:shd w:val="clear" w:color="auto" w:fill="auto"/>
            <w:noWrap/>
            <w:vAlign w:val="bottom"/>
            <w:hideMark/>
          </w:tcPr>
          <w:p w14:paraId="5E548997" w14:textId="77777777" w:rsidR="00CB3946" w:rsidRPr="00DC2B07" w:rsidRDefault="00CB3946" w:rsidP="00CB3946">
            <w:pPr>
              <w:jc w:val="center"/>
              <w:rPr>
                <w:color w:val="000000"/>
              </w:rPr>
            </w:pPr>
            <w:r w:rsidRPr="00DC2B07">
              <w:rPr>
                <w:color w:val="000000"/>
              </w:rPr>
              <w:t>4</w:t>
            </w:r>
          </w:p>
        </w:tc>
      </w:tr>
      <w:tr w:rsidR="00DC2B07" w:rsidRPr="00DC2B07" w14:paraId="2D91D461" w14:textId="77777777" w:rsidTr="00B25BB3">
        <w:trPr>
          <w:trHeight w:val="300"/>
          <w:jc w:val="center"/>
        </w:trPr>
        <w:tc>
          <w:tcPr>
            <w:tcW w:w="1530" w:type="dxa"/>
            <w:tcBorders>
              <w:top w:val="nil"/>
              <w:left w:val="nil"/>
              <w:bottom w:val="nil"/>
              <w:right w:val="nil"/>
            </w:tcBorders>
            <w:shd w:val="clear" w:color="auto" w:fill="auto"/>
            <w:noWrap/>
            <w:vAlign w:val="bottom"/>
            <w:hideMark/>
          </w:tcPr>
          <w:p w14:paraId="6D2F86E1" w14:textId="77777777" w:rsidR="00CB3946" w:rsidRPr="00DC2B07" w:rsidRDefault="00CB3946" w:rsidP="00CB3946">
            <w:pPr>
              <w:jc w:val="center"/>
              <w:rPr>
                <w:color w:val="000000"/>
              </w:rPr>
            </w:pPr>
            <w:r w:rsidRPr="00DC2B07">
              <w:rPr>
                <w:color w:val="000000"/>
              </w:rPr>
              <w:t>7</w:t>
            </w:r>
          </w:p>
        </w:tc>
        <w:tc>
          <w:tcPr>
            <w:tcW w:w="1080" w:type="dxa"/>
            <w:tcBorders>
              <w:top w:val="nil"/>
              <w:left w:val="nil"/>
              <w:bottom w:val="nil"/>
              <w:right w:val="nil"/>
            </w:tcBorders>
            <w:shd w:val="clear" w:color="auto" w:fill="auto"/>
            <w:noWrap/>
            <w:vAlign w:val="bottom"/>
            <w:hideMark/>
          </w:tcPr>
          <w:p w14:paraId="5356492B" w14:textId="77777777" w:rsidR="00CB3946" w:rsidRPr="00DC2B07" w:rsidRDefault="00CB3946" w:rsidP="00CB3946">
            <w:pPr>
              <w:jc w:val="center"/>
              <w:rPr>
                <w:color w:val="000000"/>
              </w:rPr>
            </w:pPr>
            <w:r w:rsidRPr="00DC2B07">
              <w:rPr>
                <w:color w:val="000000"/>
              </w:rPr>
              <w:t>LS18</w:t>
            </w:r>
          </w:p>
        </w:tc>
        <w:tc>
          <w:tcPr>
            <w:tcW w:w="1080" w:type="dxa"/>
            <w:tcBorders>
              <w:top w:val="nil"/>
              <w:left w:val="nil"/>
              <w:bottom w:val="nil"/>
              <w:right w:val="nil"/>
            </w:tcBorders>
            <w:shd w:val="clear" w:color="auto" w:fill="auto"/>
            <w:noWrap/>
            <w:vAlign w:val="bottom"/>
            <w:hideMark/>
          </w:tcPr>
          <w:p w14:paraId="3041D1F6" w14:textId="77777777" w:rsidR="00CB3946" w:rsidRPr="00DC2B07" w:rsidRDefault="00CB3946" w:rsidP="00CB3946">
            <w:pPr>
              <w:jc w:val="center"/>
              <w:rPr>
                <w:color w:val="000000"/>
              </w:rPr>
            </w:pPr>
            <w:r w:rsidRPr="00DC2B07">
              <w:rPr>
                <w:color w:val="000000"/>
              </w:rPr>
              <w:t>2</w:t>
            </w:r>
          </w:p>
        </w:tc>
        <w:tc>
          <w:tcPr>
            <w:tcW w:w="1440" w:type="dxa"/>
            <w:tcBorders>
              <w:top w:val="nil"/>
              <w:left w:val="nil"/>
              <w:bottom w:val="nil"/>
              <w:right w:val="nil"/>
            </w:tcBorders>
            <w:shd w:val="clear" w:color="auto" w:fill="auto"/>
            <w:noWrap/>
            <w:vAlign w:val="bottom"/>
            <w:hideMark/>
          </w:tcPr>
          <w:p w14:paraId="68208DF3" w14:textId="77777777" w:rsidR="00CB3946" w:rsidRPr="00DC2B07" w:rsidRDefault="00CB3946" w:rsidP="00CB3946">
            <w:pPr>
              <w:jc w:val="center"/>
              <w:rPr>
                <w:color w:val="000000"/>
              </w:rPr>
            </w:pPr>
            <w:r w:rsidRPr="00DC2B07">
              <w:rPr>
                <w:color w:val="000000"/>
              </w:rPr>
              <w:t>50.46</w:t>
            </w:r>
          </w:p>
        </w:tc>
        <w:tc>
          <w:tcPr>
            <w:tcW w:w="1620" w:type="dxa"/>
            <w:tcBorders>
              <w:top w:val="nil"/>
              <w:left w:val="nil"/>
              <w:bottom w:val="nil"/>
              <w:right w:val="nil"/>
            </w:tcBorders>
            <w:shd w:val="clear" w:color="auto" w:fill="auto"/>
            <w:noWrap/>
            <w:vAlign w:val="bottom"/>
            <w:hideMark/>
          </w:tcPr>
          <w:p w14:paraId="43F29D56" w14:textId="4B3D7DFE" w:rsidR="00CB3946" w:rsidRPr="00DC2B07" w:rsidRDefault="00DC2B07" w:rsidP="00CB3946">
            <w:pPr>
              <w:jc w:val="center"/>
              <w:rPr>
                <w:color w:val="000000"/>
              </w:rPr>
            </w:pPr>
            <w:r w:rsidRPr="00DC2B07">
              <w:rPr>
                <w:color w:val="000000"/>
              </w:rPr>
              <w:t>–</w:t>
            </w:r>
            <w:r w:rsidR="00CB3946" w:rsidRPr="00DC2B07">
              <w:rPr>
                <w:color w:val="000000"/>
              </w:rPr>
              <w:t>144.74</w:t>
            </w:r>
          </w:p>
        </w:tc>
        <w:tc>
          <w:tcPr>
            <w:tcW w:w="2340" w:type="dxa"/>
            <w:tcBorders>
              <w:top w:val="nil"/>
              <w:left w:val="nil"/>
              <w:bottom w:val="nil"/>
              <w:right w:val="nil"/>
            </w:tcBorders>
            <w:shd w:val="clear" w:color="auto" w:fill="auto"/>
            <w:noWrap/>
            <w:vAlign w:val="bottom"/>
            <w:hideMark/>
          </w:tcPr>
          <w:p w14:paraId="4D8AC1F6" w14:textId="77777777" w:rsidR="00CB3946" w:rsidRPr="00DC2B07" w:rsidRDefault="00CB3946" w:rsidP="00CB3946">
            <w:pPr>
              <w:jc w:val="center"/>
              <w:rPr>
                <w:color w:val="000000"/>
              </w:rPr>
            </w:pPr>
            <w:r w:rsidRPr="00DC2B07">
              <w:rPr>
                <w:color w:val="000000"/>
              </w:rPr>
              <w:t>25-Aug-18 4:55</w:t>
            </w:r>
          </w:p>
        </w:tc>
        <w:tc>
          <w:tcPr>
            <w:tcW w:w="1563" w:type="dxa"/>
            <w:tcBorders>
              <w:top w:val="nil"/>
              <w:left w:val="nil"/>
              <w:bottom w:val="nil"/>
              <w:right w:val="nil"/>
            </w:tcBorders>
            <w:shd w:val="clear" w:color="auto" w:fill="auto"/>
            <w:noWrap/>
            <w:vAlign w:val="bottom"/>
            <w:hideMark/>
          </w:tcPr>
          <w:p w14:paraId="5F3FCC69" w14:textId="77777777" w:rsidR="00CB3946" w:rsidRPr="00DC2B07" w:rsidRDefault="00CB3946" w:rsidP="00CB3946">
            <w:pPr>
              <w:jc w:val="center"/>
              <w:rPr>
                <w:color w:val="000000"/>
              </w:rPr>
            </w:pPr>
            <w:r w:rsidRPr="00DC2B07">
              <w:rPr>
                <w:color w:val="000000"/>
              </w:rPr>
              <w:t>4</w:t>
            </w:r>
          </w:p>
        </w:tc>
      </w:tr>
      <w:tr w:rsidR="00DC2B07" w:rsidRPr="00DC2B07" w14:paraId="1E9CF998" w14:textId="77777777" w:rsidTr="00B25BB3">
        <w:trPr>
          <w:trHeight w:val="300"/>
          <w:jc w:val="center"/>
        </w:trPr>
        <w:tc>
          <w:tcPr>
            <w:tcW w:w="1530" w:type="dxa"/>
            <w:tcBorders>
              <w:top w:val="nil"/>
              <w:left w:val="nil"/>
              <w:bottom w:val="nil"/>
              <w:right w:val="nil"/>
            </w:tcBorders>
            <w:shd w:val="clear" w:color="auto" w:fill="auto"/>
            <w:noWrap/>
            <w:vAlign w:val="bottom"/>
            <w:hideMark/>
          </w:tcPr>
          <w:p w14:paraId="4E8D46DC" w14:textId="77777777" w:rsidR="00CB3946" w:rsidRPr="00DC2B07" w:rsidRDefault="00CB3946" w:rsidP="00CB3946">
            <w:pPr>
              <w:jc w:val="center"/>
              <w:rPr>
                <w:color w:val="000000"/>
              </w:rPr>
            </w:pPr>
            <w:r w:rsidRPr="00DC2B07">
              <w:rPr>
                <w:color w:val="000000"/>
              </w:rPr>
              <w:t>8</w:t>
            </w:r>
          </w:p>
        </w:tc>
        <w:tc>
          <w:tcPr>
            <w:tcW w:w="1080" w:type="dxa"/>
            <w:tcBorders>
              <w:top w:val="nil"/>
              <w:left w:val="nil"/>
              <w:bottom w:val="nil"/>
              <w:right w:val="nil"/>
            </w:tcBorders>
            <w:shd w:val="clear" w:color="auto" w:fill="auto"/>
            <w:noWrap/>
            <w:vAlign w:val="bottom"/>
            <w:hideMark/>
          </w:tcPr>
          <w:p w14:paraId="1CE4338D" w14:textId="77777777" w:rsidR="00CB3946" w:rsidRPr="00DC2B07" w:rsidRDefault="00CB3946" w:rsidP="00CB3946">
            <w:pPr>
              <w:jc w:val="center"/>
              <w:rPr>
                <w:color w:val="000000"/>
              </w:rPr>
            </w:pPr>
            <w:r w:rsidRPr="00DC2B07">
              <w:rPr>
                <w:color w:val="000000"/>
              </w:rPr>
              <w:t>LS12</w:t>
            </w:r>
          </w:p>
        </w:tc>
        <w:tc>
          <w:tcPr>
            <w:tcW w:w="1080" w:type="dxa"/>
            <w:tcBorders>
              <w:top w:val="nil"/>
              <w:left w:val="nil"/>
              <w:bottom w:val="nil"/>
              <w:right w:val="nil"/>
            </w:tcBorders>
            <w:shd w:val="clear" w:color="auto" w:fill="auto"/>
            <w:noWrap/>
            <w:vAlign w:val="bottom"/>
            <w:hideMark/>
          </w:tcPr>
          <w:p w14:paraId="799A6297" w14:textId="77777777" w:rsidR="00CB3946" w:rsidRPr="00DC2B07" w:rsidRDefault="00CB3946" w:rsidP="00CB3946">
            <w:pPr>
              <w:jc w:val="center"/>
              <w:rPr>
                <w:color w:val="000000"/>
              </w:rPr>
            </w:pPr>
            <w:r w:rsidRPr="00DC2B07">
              <w:rPr>
                <w:color w:val="000000"/>
              </w:rPr>
              <w:t>2</w:t>
            </w:r>
          </w:p>
        </w:tc>
        <w:tc>
          <w:tcPr>
            <w:tcW w:w="1440" w:type="dxa"/>
            <w:tcBorders>
              <w:top w:val="nil"/>
              <w:left w:val="nil"/>
              <w:bottom w:val="nil"/>
              <w:right w:val="nil"/>
            </w:tcBorders>
            <w:shd w:val="clear" w:color="auto" w:fill="auto"/>
            <w:noWrap/>
            <w:vAlign w:val="bottom"/>
            <w:hideMark/>
          </w:tcPr>
          <w:p w14:paraId="32C527CD" w14:textId="77777777" w:rsidR="00CB3946" w:rsidRPr="00DC2B07" w:rsidRDefault="00CB3946" w:rsidP="00CB3946">
            <w:pPr>
              <w:jc w:val="center"/>
              <w:rPr>
                <w:color w:val="000000"/>
              </w:rPr>
            </w:pPr>
            <w:r w:rsidRPr="00DC2B07">
              <w:rPr>
                <w:color w:val="000000"/>
              </w:rPr>
              <w:t>50.59</w:t>
            </w:r>
          </w:p>
        </w:tc>
        <w:tc>
          <w:tcPr>
            <w:tcW w:w="1620" w:type="dxa"/>
            <w:tcBorders>
              <w:top w:val="nil"/>
              <w:left w:val="nil"/>
              <w:bottom w:val="nil"/>
              <w:right w:val="nil"/>
            </w:tcBorders>
            <w:shd w:val="clear" w:color="auto" w:fill="auto"/>
            <w:noWrap/>
            <w:vAlign w:val="bottom"/>
            <w:hideMark/>
          </w:tcPr>
          <w:p w14:paraId="5094C182" w14:textId="45F93B6C" w:rsidR="00CB3946" w:rsidRPr="00DC2B07" w:rsidRDefault="00DC2B07" w:rsidP="00CB3946">
            <w:pPr>
              <w:jc w:val="center"/>
              <w:rPr>
                <w:color w:val="000000"/>
              </w:rPr>
            </w:pPr>
            <w:r w:rsidRPr="00DC2B07">
              <w:rPr>
                <w:color w:val="000000"/>
              </w:rPr>
              <w:t>–</w:t>
            </w:r>
            <w:r w:rsidR="00CB3946" w:rsidRPr="00DC2B07">
              <w:rPr>
                <w:color w:val="000000"/>
              </w:rPr>
              <w:t>145.30</w:t>
            </w:r>
          </w:p>
        </w:tc>
        <w:tc>
          <w:tcPr>
            <w:tcW w:w="2340" w:type="dxa"/>
            <w:tcBorders>
              <w:top w:val="nil"/>
              <w:left w:val="nil"/>
              <w:bottom w:val="nil"/>
              <w:right w:val="nil"/>
            </w:tcBorders>
            <w:shd w:val="clear" w:color="auto" w:fill="auto"/>
            <w:noWrap/>
            <w:vAlign w:val="bottom"/>
            <w:hideMark/>
          </w:tcPr>
          <w:p w14:paraId="75D0707D" w14:textId="77777777" w:rsidR="00CB3946" w:rsidRPr="00DC2B07" w:rsidRDefault="00CB3946" w:rsidP="00CB3946">
            <w:pPr>
              <w:jc w:val="center"/>
              <w:rPr>
                <w:color w:val="000000"/>
              </w:rPr>
            </w:pPr>
            <w:r w:rsidRPr="00DC2B07">
              <w:rPr>
                <w:color w:val="000000"/>
              </w:rPr>
              <w:t>26-Aug-18 7:19</w:t>
            </w:r>
          </w:p>
        </w:tc>
        <w:tc>
          <w:tcPr>
            <w:tcW w:w="1563" w:type="dxa"/>
            <w:tcBorders>
              <w:top w:val="nil"/>
              <w:left w:val="nil"/>
              <w:bottom w:val="nil"/>
              <w:right w:val="nil"/>
            </w:tcBorders>
            <w:shd w:val="clear" w:color="auto" w:fill="auto"/>
            <w:noWrap/>
            <w:vAlign w:val="bottom"/>
            <w:hideMark/>
          </w:tcPr>
          <w:p w14:paraId="58786A90" w14:textId="77777777" w:rsidR="00CB3946" w:rsidRPr="00DC2B07" w:rsidRDefault="00CB3946" w:rsidP="00CB3946">
            <w:pPr>
              <w:jc w:val="center"/>
              <w:rPr>
                <w:color w:val="000000"/>
              </w:rPr>
            </w:pPr>
            <w:r w:rsidRPr="00DC2B07">
              <w:rPr>
                <w:color w:val="000000"/>
              </w:rPr>
              <w:t>5</w:t>
            </w:r>
          </w:p>
        </w:tc>
      </w:tr>
      <w:tr w:rsidR="00DC2B07" w:rsidRPr="00DC2B07" w14:paraId="5E34CE7E" w14:textId="77777777" w:rsidTr="00B25BB3">
        <w:trPr>
          <w:trHeight w:val="300"/>
          <w:jc w:val="center"/>
        </w:trPr>
        <w:tc>
          <w:tcPr>
            <w:tcW w:w="1530" w:type="dxa"/>
            <w:tcBorders>
              <w:top w:val="nil"/>
              <w:left w:val="nil"/>
              <w:bottom w:val="nil"/>
              <w:right w:val="nil"/>
            </w:tcBorders>
            <w:shd w:val="clear" w:color="auto" w:fill="auto"/>
            <w:noWrap/>
            <w:vAlign w:val="bottom"/>
            <w:hideMark/>
          </w:tcPr>
          <w:p w14:paraId="0720098C" w14:textId="77777777" w:rsidR="00CB3946" w:rsidRPr="00DC2B07" w:rsidRDefault="00CB3946" w:rsidP="00CB3946">
            <w:pPr>
              <w:jc w:val="center"/>
              <w:rPr>
                <w:color w:val="000000"/>
              </w:rPr>
            </w:pPr>
            <w:r w:rsidRPr="00DC2B07">
              <w:rPr>
                <w:color w:val="000000"/>
              </w:rPr>
              <w:t>9</w:t>
            </w:r>
          </w:p>
        </w:tc>
        <w:tc>
          <w:tcPr>
            <w:tcW w:w="1080" w:type="dxa"/>
            <w:tcBorders>
              <w:top w:val="nil"/>
              <w:left w:val="nil"/>
              <w:bottom w:val="nil"/>
              <w:right w:val="nil"/>
            </w:tcBorders>
            <w:shd w:val="clear" w:color="auto" w:fill="auto"/>
            <w:noWrap/>
            <w:vAlign w:val="bottom"/>
            <w:hideMark/>
          </w:tcPr>
          <w:p w14:paraId="731B04B7" w14:textId="77777777" w:rsidR="00CB3946" w:rsidRPr="00DC2B07" w:rsidRDefault="00CB3946" w:rsidP="00CB3946">
            <w:pPr>
              <w:jc w:val="center"/>
              <w:rPr>
                <w:color w:val="000000"/>
              </w:rPr>
            </w:pPr>
            <w:r w:rsidRPr="00DC2B07">
              <w:rPr>
                <w:color w:val="000000"/>
              </w:rPr>
              <w:t>SS8</w:t>
            </w:r>
          </w:p>
        </w:tc>
        <w:tc>
          <w:tcPr>
            <w:tcW w:w="1080" w:type="dxa"/>
            <w:tcBorders>
              <w:top w:val="nil"/>
              <w:left w:val="nil"/>
              <w:bottom w:val="nil"/>
              <w:right w:val="nil"/>
            </w:tcBorders>
            <w:shd w:val="clear" w:color="auto" w:fill="auto"/>
            <w:noWrap/>
            <w:vAlign w:val="bottom"/>
            <w:hideMark/>
          </w:tcPr>
          <w:p w14:paraId="6E90DDE8" w14:textId="77777777" w:rsidR="00CB3946" w:rsidRPr="00DC2B07" w:rsidRDefault="00CB3946" w:rsidP="00CB3946">
            <w:pPr>
              <w:jc w:val="center"/>
              <w:rPr>
                <w:color w:val="000000"/>
              </w:rPr>
            </w:pPr>
            <w:r w:rsidRPr="00DC2B07">
              <w:rPr>
                <w:color w:val="000000"/>
              </w:rPr>
              <w:t>3</w:t>
            </w:r>
          </w:p>
        </w:tc>
        <w:tc>
          <w:tcPr>
            <w:tcW w:w="1440" w:type="dxa"/>
            <w:tcBorders>
              <w:top w:val="nil"/>
              <w:left w:val="nil"/>
              <w:bottom w:val="nil"/>
              <w:right w:val="nil"/>
            </w:tcBorders>
            <w:shd w:val="clear" w:color="auto" w:fill="auto"/>
            <w:noWrap/>
            <w:vAlign w:val="bottom"/>
            <w:hideMark/>
          </w:tcPr>
          <w:p w14:paraId="469E102E" w14:textId="77777777" w:rsidR="00CB3946" w:rsidRPr="00DC2B07" w:rsidRDefault="00CB3946" w:rsidP="00CB3946">
            <w:pPr>
              <w:jc w:val="center"/>
              <w:rPr>
                <w:color w:val="000000"/>
              </w:rPr>
            </w:pPr>
            <w:r w:rsidRPr="00DC2B07">
              <w:rPr>
                <w:color w:val="000000"/>
              </w:rPr>
              <w:t>50.59</w:t>
            </w:r>
          </w:p>
        </w:tc>
        <w:tc>
          <w:tcPr>
            <w:tcW w:w="1620" w:type="dxa"/>
            <w:tcBorders>
              <w:top w:val="nil"/>
              <w:left w:val="nil"/>
              <w:bottom w:val="nil"/>
              <w:right w:val="nil"/>
            </w:tcBorders>
            <w:shd w:val="clear" w:color="auto" w:fill="auto"/>
            <w:noWrap/>
            <w:vAlign w:val="bottom"/>
            <w:hideMark/>
          </w:tcPr>
          <w:p w14:paraId="38DF9B24" w14:textId="3CEAC326" w:rsidR="00CB3946" w:rsidRPr="00DC2B07" w:rsidRDefault="00DC2B07" w:rsidP="00CB3946">
            <w:pPr>
              <w:jc w:val="center"/>
              <w:rPr>
                <w:color w:val="000000"/>
              </w:rPr>
            </w:pPr>
            <w:r w:rsidRPr="00DC2B07">
              <w:rPr>
                <w:color w:val="000000"/>
              </w:rPr>
              <w:t>–</w:t>
            </w:r>
            <w:r w:rsidR="00CB3946" w:rsidRPr="00DC2B07">
              <w:rPr>
                <w:color w:val="000000"/>
              </w:rPr>
              <w:t>144.95</w:t>
            </w:r>
          </w:p>
        </w:tc>
        <w:tc>
          <w:tcPr>
            <w:tcW w:w="2340" w:type="dxa"/>
            <w:tcBorders>
              <w:top w:val="nil"/>
              <w:left w:val="nil"/>
              <w:bottom w:val="nil"/>
              <w:right w:val="nil"/>
            </w:tcBorders>
            <w:shd w:val="clear" w:color="auto" w:fill="auto"/>
            <w:noWrap/>
            <w:vAlign w:val="bottom"/>
            <w:hideMark/>
          </w:tcPr>
          <w:p w14:paraId="754F732A" w14:textId="77777777" w:rsidR="00CB3946" w:rsidRPr="00DC2B07" w:rsidRDefault="00CB3946" w:rsidP="00CB3946">
            <w:pPr>
              <w:jc w:val="center"/>
              <w:rPr>
                <w:color w:val="000000"/>
              </w:rPr>
            </w:pPr>
            <w:r w:rsidRPr="00DC2B07">
              <w:rPr>
                <w:color w:val="000000"/>
              </w:rPr>
              <w:t>1-Sep-18 6:34</w:t>
            </w:r>
          </w:p>
        </w:tc>
        <w:tc>
          <w:tcPr>
            <w:tcW w:w="1563" w:type="dxa"/>
            <w:tcBorders>
              <w:top w:val="nil"/>
              <w:left w:val="nil"/>
              <w:bottom w:val="nil"/>
              <w:right w:val="nil"/>
            </w:tcBorders>
            <w:shd w:val="clear" w:color="auto" w:fill="auto"/>
            <w:noWrap/>
            <w:vAlign w:val="bottom"/>
            <w:hideMark/>
          </w:tcPr>
          <w:p w14:paraId="04021037" w14:textId="77777777" w:rsidR="00CB3946" w:rsidRPr="00DC2B07" w:rsidRDefault="00CB3946" w:rsidP="00CB3946">
            <w:pPr>
              <w:jc w:val="center"/>
              <w:rPr>
                <w:color w:val="000000"/>
              </w:rPr>
            </w:pPr>
            <w:r w:rsidRPr="00DC2B07">
              <w:rPr>
                <w:color w:val="000000"/>
              </w:rPr>
              <w:t>4</w:t>
            </w:r>
          </w:p>
        </w:tc>
      </w:tr>
      <w:tr w:rsidR="00DC2B07" w:rsidRPr="00DC2B07" w14:paraId="2C4457D4" w14:textId="77777777" w:rsidTr="00B25BB3">
        <w:trPr>
          <w:trHeight w:val="300"/>
          <w:jc w:val="center"/>
        </w:trPr>
        <w:tc>
          <w:tcPr>
            <w:tcW w:w="1530" w:type="dxa"/>
            <w:tcBorders>
              <w:top w:val="nil"/>
              <w:left w:val="nil"/>
              <w:bottom w:val="nil"/>
              <w:right w:val="nil"/>
            </w:tcBorders>
            <w:shd w:val="clear" w:color="auto" w:fill="auto"/>
            <w:noWrap/>
            <w:vAlign w:val="bottom"/>
            <w:hideMark/>
          </w:tcPr>
          <w:p w14:paraId="2AE2A0AD" w14:textId="77777777" w:rsidR="00CB3946" w:rsidRPr="00DC2B07" w:rsidRDefault="00CB3946" w:rsidP="00CB3946">
            <w:pPr>
              <w:jc w:val="center"/>
              <w:rPr>
                <w:color w:val="000000"/>
              </w:rPr>
            </w:pPr>
            <w:r w:rsidRPr="00DC2B07">
              <w:rPr>
                <w:color w:val="000000"/>
              </w:rPr>
              <w:t>10</w:t>
            </w:r>
          </w:p>
        </w:tc>
        <w:tc>
          <w:tcPr>
            <w:tcW w:w="1080" w:type="dxa"/>
            <w:tcBorders>
              <w:top w:val="nil"/>
              <w:left w:val="nil"/>
              <w:bottom w:val="nil"/>
              <w:right w:val="nil"/>
            </w:tcBorders>
            <w:shd w:val="clear" w:color="auto" w:fill="auto"/>
            <w:noWrap/>
            <w:vAlign w:val="bottom"/>
            <w:hideMark/>
          </w:tcPr>
          <w:p w14:paraId="533ACBB6" w14:textId="77777777" w:rsidR="00CB3946" w:rsidRPr="00DC2B07" w:rsidRDefault="00CB3946" w:rsidP="00CB3946">
            <w:pPr>
              <w:jc w:val="center"/>
              <w:rPr>
                <w:color w:val="000000"/>
              </w:rPr>
            </w:pPr>
            <w:r w:rsidRPr="00DC2B07">
              <w:rPr>
                <w:color w:val="000000"/>
              </w:rPr>
              <w:t>SS7</w:t>
            </w:r>
          </w:p>
        </w:tc>
        <w:tc>
          <w:tcPr>
            <w:tcW w:w="1080" w:type="dxa"/>
            <w:tcBorders>
              <w:top w:val="nil"/>
              <w:left w:val="nil"/>
              <w:bottom w:val="nil"/>
              <w:right w:val="nil"/>
            </w:tcBorders>
            <w:shd w:val="clear" w:color="auto" w:fill="auto"/>
            <w:noWrap/>
            <w:vAlign w:val="bottom"/>
            <w:hideMark/>
          </w:tcPr>
          <w:p w14:paraId="11A5EE2B" w14:textId="77777777" w:rsidR="00CB3946" w:rsidRPr="00DC2B07" w:rsidRDefault="00CB3946" w:rsidP="00CB3946">
            <w:pPr>
              <w:jc w:val="center"/>
              <w:rPr>
                <w:color w:val="000000"/>
              </w:rPr>
            </w:pPr>
            <w:r w:rsidRPr="00DC2B07">
              <w:rPr>
                <w:color w:val="000000"/>
              </w:rPr>
              <w:t>3</w:t>
            </w:r>
          </w:p>
        </w:tc>
        <w:tc>
          <w:tcPr>
            <w:tcW w:w="1440" w:type="dxa"/>
            <w:tcBorders>
              <w:top w:val="nil"/>
              <w:left w:val="nil"/>
              <w:bottom w:val="nil"/>
              <w:right w:val="nil"/>
            </w:tcBorders>
            <w:shd w:val="clear" w:color="auto" w:fill="auto"/>
            <w:noWrap/>
            <w:vAlign w:val="bottom"/>
            <w:hideMark/>
          </w:tcPr>
          <w:p w14:paraId="25AEB46D" w14:textId="77777777" w:rsidR="00CB3946" w:rsidRPr="00DC2B07" w:rsidRDefault="00CB3946" w:rsidP="00CB3946">
            <w:pPr>
              <w:jc w:val="center"/>
              <w:rPr>
                <w:color w:val="000000"/>
              </w:rPr>
            </w:pPr>
            <w:r w:rsidRPr="00DC2B07">
              <w:rPr>
                <w:color w:val="000000"/>
              </w:rPr>
              <w:t>50.65</w:t>
            </w:r>
          </w:p>
        </w:tc>
        <w:tc>
          <w:tcPr>
            <w:tcW w:w="1620" w:type="dxa"/>
            <w:tcBorders>
              <w:top w:val="nil"/>
              <w:left w:val="nil"/>
              <w:bottom w:val="nil"/>
              <w:right w:val="nil"/>
            </w:tcBorders>
            <w:shd w:val="clear" w:color="auto" w:fill="auto"/>
            <w:noWrap/>
            <w:vAlign w:val="bottom"/>
            <w:hideMark/>
          </w:tcPr>
          <w:p w14:paraId="3A4C740B" w14:textId="54248D3E" w:rsidR="00CB3946" w:rsidRPr="00DC2B07" w:rsidRDefault="00DC2B07" w:rsidP="00CB3946">
            <w:pPr>
              <w:jc w:val="center"/>
              <w:rPr>
                <w:color w:val="000000"/>
              </w:rPr>
            </w:pPr>
            <w:r w:rsidRPr="00DC2B07">
              <w:rPr>
                <w:color w:val="000000"/>
              </w:rPr>
              <w:t>–</w:t>
            </w:r>
            <w:r w:rsidR="00CB3946" w:rsidRPr="00DC2B07">
              <w:rPr>
                <w:color w:val="000000"/>
              </w:rPr>
              <w:t>144.87</w:t>
            </w:r>
          </w:p>
        </w:tc>
        <w:tc>
          <w:tcPr>
            <w:tcW w:w="2340" w:type="dxa"/>
            <w:tcBorders>
              <w:top w:val="nil"/>
              <w:left w:val="nil"/>
              <w:bottom w:val="nil"/>
              <w:right w:val="nil"/>
            </w:tcBorders>
            <w:shd w:val="clear" w:color="auto" w:fill="auto"/>
            <w:noWrap/>
            <w:vAlign w:val="bottom"/>
            <w:hideMark/>
          </w:tcPr>
          <w:p w14:paraId="220C978D" w14:textId="77777777" w:rsidR="00CB3946" w:rsidRPr="00DC2B07" w:rsidRDefault="00CB3946" w:rsidP="00CB3946">
            <w:pPr>
              <w:jc w:val="center"/>
              <w:rPr>
                <w:color w:val="000000"/>
              </w:rPr>
            </w:pPr>
            <w:r w:rsidRPr="00DC2B07">
              <w:rPr>
                <w:color w:val="000000"/>
              </w:rPr>
              <w:t>2-Sep-18 6:05</w:t>
            </w:r>
          </w:p>
        </w:tc>
        <w:tc>
          <w:tcPr>
            <w:tcW w:w="1563" w:type="dxa"/>
            <w:tcBorders>
              <w:top w:val="nil"/>
              <w:left w:val="nil"/>
              <w:bottom w:val="nil"/>
              <w:right w:val="nil"/>
            </w:tcBorders>
            <w:shd w:val="clear" w:color="auto" w:fill="auto"/>
            <w:noWrap/>
            <w:vAlign w:val="bottom"/>
            <w:hideMark/>
          </w:tcPr>
          <w:p w14:paraId="581EAF9F" w14:textId="77777777" w:rsidR="00CB3946" w:rsidRPr="00DC2B07" w:rsidRDefault="00CB3946" w:rsidP="00CB3946">
            <w:pPr>
              <w:jc w:val="center"/>
              <w:rPr>
                <w:color w:val="000000"/>
              </w:rPr>
            </w:pPr>
            <w:r w:rsidRPr="00DC2B07">
              <w:rPr>
                <w:color w:val="000000"/>
              </w:rPr>
              <w:t>4</w:t>
            </w:r>
          </w:p>
        </w:tc>
      </w:tr>
      <w:tr w:rsidR="00DC2B07" w:rsidRPr="00DC2B07" w14:paraId="7ACDEACD" w14:textId="77777777" w:rsidTr="00B25BB3">
        <w:trPr>
          <w:trHeight w:val="300"/>
          <w:jc w:val="center"/>
        </w:trPr>
        <w:tc>
          <w:tcPr>
            <w:tcW w:w="1530" w:type="dxa"/>
            <w:tcBorders>
              <w:top w:val="nil"/>
              <w:left w:val="nil"/>
              <w:bottom w:val="nil"/>
              <w:right w:val="nil"/>
            </w:tcBorders>
            <w:shd w:val="clear" w:color="auto" w:fill="auto"/>
            <w:noWrap/>
            <w:vAlign w:val="bottom"/>
            <w:hideMark/>
          </w:tcPr>
          <w:p w14:paraId="54EA3D86" w14:textId="77777777" w:rsidR="00CB3946" w:rsidRPr="00DC2B07" w:rsidRDefault="00CB3946" w:rsidP="00CB3946">
            <w:pPr>
              <w:jc w:val="center"/>
              <w:rPr>
                <w:color w:val="000000"/>
              </w:rPr>
            </w:pPr>
            <w:r w:rsidRPr="00DC2B07">
              <w:rPr>
                <w:color w:val="000000"/>
              </w:rPr>
              <w:t>11</w:t>
            </w:r>
          </w:p>
        </w:tc>
        <w:tc>
          <w:tcPr>
            <w:tcW w:w="1080" w:type="dxa"/>
            <w:tcBorders>
              <w:top w:val="nil"/>
              <w:left w:val="nil"/>
              <w:bottom w:val="nil"/>
              <w:right w:val="nil"/>
            </w:tcBorders>
            <w:shd w:val="clear" w:color="auto" w:fill="auto"/>
            <w:noWrap/>
            <w:vAlign w:val="bottom"/>
            <w:hideMark/>
          </w:tcPr>
          <w:p w14:paraId="394731E5" w14:textId="77777777" w:rsidR="00CB3946" w:rsidRPr="00DC2B07" w:rsidRDefault="00CB3946" w:rsidP="00CB3946">
            <w:pPr>
              <w:jc w:val="center"/>
              <w:rPr>
                <w:color w:val="000000"/>
              </w:rPr>
            </w:pPr>
            <w:r w:rsidRPr="00DC2B07">
              <w:rPr>
                <w:color w:val="000000"/>
              </w:rPr>
              <w:t>SS12</w:t>
            </w:r>
          </w:p>
        </w:tc>
        <w:tc>
          <w:tcPr>
            <w:tcW w:w="1080" w:type="dxa"/>
            <w:tcBorders>
              <w:top w:val="nil"/>
              <w:left w:val="nil"/>
              <w:bottom w:val="nil"/>
              <w:right w:val="nil"/>
            </w:tcBorders>
            <w:shd w:val="clear" w:color="auto" w:fill="auto"/>
            <w:noWrap/>
            <w:vAlign w:val="bottom"/>
            <w:hideMark/>
          </w:tcPr>
          <w:p w14:paraId="7B51ED76" w14:textId="77777777" w:rsidR="00CB3946" w:rsidRPr="00DC2B07" w:rsidRDefault="00CB3946" w:rsidP="00CB3946">
            <w:pPr>
              <w:jc w:val="center"/>
              <w:rPr>
                <w:color w:val="000000"/>
              </w:rPr>
            </w:pPr>
            <w:r w:rsidRPr="00DC2B07">
              <w:rPr>
                <w:color w:val="000000"/>
              </w:rPr>
              <w:t>3</w:t>
            </w:r>
          </w:p>
        </w:tc>
        <w:tc>
          <w:tcPr>
            <w:tcW w:w="1440" w:type="dxa"/>
            <w:tcBorders>
              <w:top w:val="nil"/>
              <w:left w:val="nil"/>
              <w:bottom w:val="nil"/>
              <w:right w:val="nil"/>
            </w:tcBorders>
            <w:shd w:val="clear" w:color="auto" w:fill="auto"/>
            <w:noWrap/>
            <w:vAlign w:val="bottom"/>
            <w:hideMark/>
          </w:tcPr>
          <w:p w14:paraId="110FCED1" w14:textId="77777777" w:rsidR="00CB3946" w:rsidRPr="00DC2B07" w:rsidRDefault="00CB3946" w:rsidP="00CB3946">
            <w:pPr>
              <w:jc w:val="center"/>
              <w:rPr>
                <w:color w:val="000000"/>
              </w:rPr>
            </w:pPr>
            <w:r w:rsidRPr="00DC2B07">
              <w:rPr>
                <w:color w:val="000000"/>
              </w:rPr>
              <w:t>50.59</w:t>
            </w:r>
          </w:p>
        </w:tc>
        <w:tc>
          <w:tcPr>
            <w:tcW w:w="1620" w:type="dxa"/>
            <w:tcBorders>
              <w:top w:val="nil"/>
              <w:left w:val="nil"/>
              <w:bottom w:val="nil"/>
              <w:right w:val="nil"/>
            </w:tcBorders>
            <w:shd w:val="clear" w:color="auto" w:fill="auto"/>
            <w:noWrap/>
            <w:vAlign w:val="bottom"/>
            <w:hideMark/>
          </w:tcPr>
          <w:p w14:paraId="267DE0A6" w14:textId="7D2994DB" w:rsidR="00CB3946" w:rsidRPr="00DC2B07" w:rsidRDefault="00DC2B07" w:rsidP="00CB3946">
            <w:pPr>
              <w:jc w:val="center"/>
              <w:rPr>
                <w:color w:val="000000"/>
              </w:rPr>
            </w:pPr>
            <w:r w:rsidRPr="00DC2B07">
              <w:rPr>
                <w:color w:val="000000"/>
              </w:rPr>
              <w:t>–</w:t>
            </w:r>
            <w:r w:rsidR="00CB3946" w:rsidRPr="00DC2B07">
              <w:rPr>
                <w:color w:val="000000"/>
              </w:rPr>
              <w:t>144.79</w:t>
            </w:r>
          </w:p>
        </w:tc>
        <w:tc>
          <w:tcPr>
            <w:tcW w:w="2340" w:type="dxa"/>
            <w:tcBorders>
              <w:top w:val="nil"/>
              <w:left w:val="nil"/>
              <w:bottom w:val="nil"/>
              <w:right w:val="nil"/>
            </w:tcBorders>
            <w:shd w:val="clear" w:color="auto" w:fill="auto"/>
            <w:noWrap/>
            <w:vAlign w:val="bottom"/>
            <w:hideMark/>
          </w:tcPr>
          <w:p w14:paraId="46200709" w14:textId="77777777" w:rsidR="00CB3946" w:rsidRPr="00DC2B07" w:rsidRDefault="00CB3946" w:rsidP="00CB3946">
            <w:pPr>
              <w:jc w:val="center"/>
              <w:rPr>
                <w:color w:val="000000"/>
              </w:rPr>
            </w:pPr>
            <w:r w:rsidRPr="00DC2B07">
              <w:rPr>
                <w:color w:val="000000"/>
              </w:rPr>
              <w:t>3-Sep-18 6:08</w:t>
            </w:r>
          </w:p>
        </w:tc>
        <w:tc>
          <w:tcPr>
            <w:tcW w:w="1563" w:type="dxa"/>
            <w:tcBorders>
              <w:top w:val="nil"/>
              <w:left w:val="nil"/>
              <w:bottom w:val="nil"/>
              <w:right w:val="nil"/>
            </w:tcBorders>
            <w:shd w:val="clear" w:color="auto" w:fill="auto"/>
            <w:noWrap/>
            <w:vAlign w:val="bottom"/>
            <w:hideMark/>
          </w:tcPr>
          <w:p w14:paraId="55BAD017" w14:textId="77777777" w:rsidR="00CB3946" w:rsidRPr="00DC2B07" w:rsidRDefault="00CB3946" w:rsidP="00CB3946">
            <w:pPr>
              <w:jc w:val="center"/>
              <w:rPr>
                <w:color w:val="000000"/>
              </w:rPr>
            </w:pPr>
            <w:r w:rsidRPr="00DC2B07">
              <w:rPr>
                <w:color w:val="000000"/>
              </w:rPr>
              <w:t>4</w:t>
            </w:r>
          </w:p>
        </w:tc>
      </w:tr>
      <w:tr w:rsidR="00DC2B07" w:rsidRPr="00DC2B07" w14:paraId="02916338" w14:textId="77777777" w:rsidTr="00B25BB3">
        <w:trPr>
          <w:trHeight w:val="300"/>
          <w:jc w:val="center"/>
        </w:trPr>
        <w:tc>
          <w:tcPr>
            <w:tcW w:w="1530" w:type="dxa"/>
            <w:tcBorders>
              <w:top w:val="nil"/>
              <w:left w:val="nil"/>
              <w:bottom w:val="nil"/>
              <w:right w:val="nil"/>
            </w:tcBorders>
            <w:shd w:val="clear" w:color="auto" w:fill="auto"/>
            <w:noWrap/>
            <w:vAlign w:val="bottom"/>
            <w:hideMark/>
          </w:tcPr>
          <w:p w14:paraId="48B5C29E" w14:textId="77777777" w:rsidR="00CB3946" w:rsidRPr="00DC2B07" w:rsidRDefault="00CB3946" w:rsidP="00CB3946">
            <w:pPr>
              <w:jc w:val="center"/>
              <w:rPr>
                <w:color w:val="000000"/>
              </w:rPr>
            </w:pPr>
            <w:r w:rsidRPr="00DC2B07">
              <w:rPr>
                <w:color w:val="000000"/>
              </w:rPr>
              <w:t>12</w:t>
            </w:r>
          </w:p>
        </w:tc>
        <w:tc>
          <w:tcPr>
            <w:tcW w:w="1080" w:type="dxa"/>
            <w:tcBorders>
              <w:top w:val="nil"/>
              <w:left w:val="nil"/>
              <w:bottom w:val="nil"/>
              <w:right w:val="nil"/>
            </w:tcBorders>
            <w:shd w:val="clear" w:color="auto" w:fill="auto"/>
            <w:noWrap/>
            <w:vAlign w:val="bottom"/>
            <w:hideMark/>
          </w:tcPr>
          <w:p w14:paraId="7FF802E2" w14:textId="77777777" w:rsidR="00CB3946" w:rsidRPr="00DC2B07" w:rsidRDefault="00CB3946" w:rsidP="00CB3946">
            <w:pPr>
              <w:jc w:val="center"/>
              <w:rPr>
                <w:color w:val="000000"/>
              </w:rPr>
            </w:pPr>
            <w:r w:rsidRPr="00DC2B07">
              <w:rPr>
                <w:color w:val="000000"/>
              </w:rPr>
              <w:t>SS11</w:t>
            </w:r>
          </w:p>
        </w:tc>
        <w:tc>
          <w:tcPr>
            <w:tcW w:w="1080" w:type="dxa"/>
            <w:tcBorders>
              <w:top w:val="nil"/>
              <w:left w:val="nil"/>
              <w:bottom w:val="nil"/>
              <w:right w:val="nil"/>
            </w:tcBorders>
            <w:shd w:val="clear" w:color="auto" w:fill="auto"/>
            <w:noWrap/>
            <w:vAlign w:val="bottom"/>
            <w:hideMark/>
          </w:tcPr>
          <w:p w14:paraId="68938FFC" w14:textId="77777777" w:rsidR="00CB3946" w:rsidRPr="00DC2B07" w:rsidRDefault="00CB3946" w:rsidP="00CB3946">
            <w:pPr>
              <w:jc w:val="center"/>
              <w:rPr>
                <w:color w:val="000000"/>
              </w:rPr>
            </w:pPr>
            <w:r w:rsidRPr="00DC2B07">
              <w:rPr>
                <w:color w:val="000000"/>
              </w:rPr>
              <w:t>3</w:t>
            </w:r>
          </w:p>
        </w:tc>
        <w:tc>
          <w:tcPr>
            <w:tcW w:w="1440" w:type="dxa"/>
            <w:tcBorders>
              <w:top w:val="nil"/>
              <w:left w:val="nil"/>
              <w:bottom w:val="nil"/>
              <w:right w:val="nil"/>
            </w:tcBorders>
            <w:shd w:val="clear" w:color="auto" w:fill="auto"/>
            <w:noWrap/>
            <w:vAlign w:val="bottom"/>
            <w:hideMark/>
          </w:tcPr>
          <w:p w14:paraId="0007A85E" w14:textId="77777777" w:rsidR="00CB3946" w:rsidRPr="00DC2B07" w:rsidRDefault="00CB3946" w:rsidP="00CB3946">
            <w:pPr>
              <w:jc w:val="center"/>
              <w:rPr>
                <w:color w:val="000000"/>
              </w:rPr>
            </w:pPr>
            <w:r w:rsidRPr="00DC2B07">
              <w:rPr>
                <w:color w:val="000000"/>
              </w:rPr>
              <w:t>50.54</w:t>
            </w:r>
          </w:p>
        </w:tc>
        <w:tc>
          <w:tcPr>
            <w:tcW w:w="1620" w:type="dxa"/>
            <w:tcBorders>
              <w:top w:val="nil"/>
              <w:left w:val="nil"/>
              <w:bottom w:val="nil"/>
              <w:right w:val="nil"/>
            </w:tcBorders>
            <w:shd w:val="clear" w:color="auto" w:fill="auto"/>
            <w:noWrap/>
            <w:vAlign w:val="bottom"/>
            <w:hideMark/>
          </w:tcPr>
          <w:p w14:paraId="40D2CE41" w14:textId="2C060848" w:rsidR="00CB3946" w:rsidRPr="00DC2B07" w:rsidRDefault="00DC2B07" w:rsidP="00CB3946">
            <w:pPr>
              <w:jc w:val="center"/>
              <w:rPr>
                <w:color w:val="000000"/>
              </w:rPr>
            </w:pPr>
            <w:r w:rsidRPr="00DC2B07">
              <w:rPr>
                <w:color w:val="000000"/>
              </w:rPr>
              <w:t>–</w:t>
            </w:r>
            <w:r w:rsidR="00CB3946" w:rsidRPr="00DC2B07">
              <w:rPr>
                <w:color w:val="000000"/>
              </w:rPr>
              <w:t>144.87</w:t>
            </w:r>
          </w:p>
        </w:tc>
        <w:tc>
          <w:tcPr>
            <w:tcW w:w="2340" w:type="dxa"/>
            <w:tcBorders>
              <w:top w:val="nil"/>
              <w:left w:val="nil"/>
              <w:bottom w:val="nil"/>
              <w:right w:val="nil"/>
            </w:tcBorders>
            <w:shd w:val="clear" w:color="auto" w:fill="auto"/>
            <w:noWrap/>
            <w:vAlign w:val="bottom"/>
            <w:hideMark/>
          </w:tcPr>
          <w:p w14:paraId="723F5E9D" w14:textId="77777777" w:rsidR="00CB3946" w:rsidRPr="00DC2B07" w:rsidRDefault="00CB3946" w:rsidP="00CB3946">
            <w:pPr>
              <w:jc w:val="center"/>
              <w:rPr>
                <w:color w:val="000000"/>
              </w:rPr>
            </w:pPr>
            <w:r w:rsidRPr="00DC2B07">
              <w:rPr>
                <w:color w:val="000000"/>
              </w:rPr>
              <w:t>4-Sep-18 7:52</w:t>
            </w:r>
          </w:p>
        </w:tc>
        <w:tc>
          <w:tcPr>
            <w:tcW w:w="1563" w:type="dxa"/>
            <w:tcBorders>
              <w:top w:val="nil"/>
              <w:left w:val="nil"/>
              <w:bottom w:val="nil"/>
              <w:right w:val="nil"/>
            </w:tcBorders>
            <w:shd w:val="clear" w:color="auto" w:fill="auto"/>
            <w:noWrap/>
            <w:vAlign w:val="bottom"/>
            <w:hideMark/>
          </w:tcPr>
          <w:p w14:paraId="041DB40F" w14:textId="77777777" w:rsidR="00CB3946" w:rsidRPr="00DC2B07" w:rsidRDefault="00CB3946" w:rsidP="00CB3946">
            <w:pPr>
              <w:jc w:val="center"/>
              <w:rPr>
                <w:color w:val="000000"/>
              </w:rPr>
            </w:pPr>
            <w:r w:rsidRPr="00DC2B07">
              <w:rPr>
                <w:color w:val="000000"/>
              </w:rPr>
              <w:t>5</w:t>
            </w:r>
          </w:p>
        </w:tc>
      </w:tr>
    </w:tbl>
    <w:p w14:paraId="4AEA8F70" w14:textId="77777777" w:rsidR="00CB3946" w:rsidRDefault="00CB3946" w:rsidP="00AC072C">
      <w:pPr>
        <w:widowControl w:val="0"/>
        <w:spacing w:line="288" w:lineRule="auto"/>
        <w:jc w:val="both"/>
      </w:pPr>
    </w:p>
    <w:p w14:paraId="1CDCEE06" w14:textId="5E6AD7A6" w:rsidR="00AC072C" w:rsidRPr="00AC072C" w:rsidRDefault="00AC072C" w:rsidP="00AC072C">
      <w:pPr>
        <w:widowControl w:val="0"/>
        <w:spacing w:line="288" w:lineRule="auto"/>
        <w:jc w:val="both"/>
        <w:rPr>
          <w:b/>
        </w:rPr>
      </w:pPr>
    </w:p>
    <w:p w14:paraId="0FC4755C" w14:textId="77777777" w:rsidR="00AC072C" w:rsidRPr="00A4193B" w:rsidRDefault="00AC072C" w:rsidP="00A4193B">
      <w:pPr>
        <w:jc w:val="both"/>
        <w:rPr>
          <w:b/>
          <w:color w:val="000000"/>
        </w:rPr>
      </w:pPr>
    </w:p>
    <w:p w14:paraId="5385D2AD" w14:textId="77777777" w:rsidR="00A4193B" w:rsidRPr="00A4193B" w:rsidRDefault="00A4193B" w:rsidP="00A4193B">
      <w:pPr>
        <w:widowControl w:val="0"/>
        <w:spacing w:line="288" w:lineRule="auto"/>
        <w:jc w:val="both"/>
        <w:rPr>
          <w:color w:val="000000"/>
        </w:rPr>
      </w:pPr>
    </w:p>
    <w:p w14:paraId="06E39D37" w14:textId="773BCE3F" w:rsidR="003B59F4" w:rsidRDefault="003B59F4">
      <w:pPr>
        <w:rPr>
          <w:color w:val="000000"/>
        </w:rPr>
      </w:pPr>
      <w:r>
        <w:rPr>
          <w:color w:val="000000"/>
        </w:rPr>
        <w:br w:type="page"/>
      </w:r>
    </w:p>
    <w:p w14:paraId="3B75CCCB" w14:textId="05CF6403" w:rsidR="003B59F4" w:rsidRPr="00553F14" w:rsidRDefault="003B59F4" w:rsidP="003B59F4">
      <w:pPr>
        <w:widowControl w:val="0"/>
        <w:spacing w:line="288" w:lineRule="auto"/>
        <w:jc w:val="both"/>
        <w:rPr>
          <w:b/>
        </w:rPr>
      </w:pPr>
      <w:r>
        <w:rPr>
          <w:b/>
        </w:rPr>
        <w:lastRenderedPageBreak/>
        <w:t>Table</w:t>
      </w:r>
      <w:r w:rsidRPr="002C60A7">
        <w:rPr>
          <w:b/>
        </w:rPr>
        <w:t xml:space="preserve"> S</w:t>
      </w:r>
      <w:r>
        <w:rPr>
          <w:b/>
        </w:rPr>
        <w:t xml:space="preserve">2. </w:t>
      </w:r>
      <w:r w:rsidRPr="003B59F4">
        <w:rPr>
          <w:b/>
        </w:rPr>
        <w:t xml:space="preserve">Subsample to subsample variability on </w:t>
      </w:r>
      <w:r w:rsidR="00E20CB1" w:rsidRPr="00E20CB1">
        <w:rPr>
          <w:b/>
        </w:rPr>
        <w:t xml:space="preserve">quartz microfiber </w:t>
      </w:r>
      <w:proofErr w:type="spellStart"/>
      <w:r w:rsidRPr="003B59F4">
        <w:rPr>
          <w:b/>
        </w:rPr>
        <w:t>filters</w:t>
      </w:r>
      <w:r w:rsidRPr="003B59F4">
        <w:rPr>
          <w:b/>
          <w:vertAlign w:val="superscript"/>
        </w:rPr>
        <w:t>a</w:t>
      </w:r>
      <w:proofErr w:type="spellEnd"/>
    </w:p>
    <w:p w14:paraId="4C6435EE" w14:textId="601BAC08" w:rsidR="006A6B73" w:rsidRDefault="006A6B73" w:rsidP="00D1141C">
      <w:pPr>
        <w:rPr>
          <w:color w:val="000000"/>
        </w:rPr>
      </w:pPr>
    </w:p>
    <w:tbl>
      <w:tblPr>
        <w:tblW w:w="9888" w:type="dxa"/>
        <w:jc w:val="center"/>
        <w:tblLook w:val="04A0" w:firstRow="1" w:lastRow="0" w:firstColumn="1" w:lastColumn="0" w:noHBand="0" w:noVBand="1"/>
      </w:tblPr>
      <w:tblGrid>
        <w:gridCol w:w="2970"/>
        <w:gridCol w:w="878"/>
        <w:gridCol w:w="880"/>
        <w:gridCol w:w="880"/>
        <w:gridCol w:w="820"/>
        <w:gridCol w:w="880"/>
        <w:gridCol w:w="880"/>
        <w:gridCol w:w="880"/>
        <w:gridCol w:w="820"/>
      </w:tblGrid>
      <w:tr w:rsidR="00277175" w:rsidRPr="002C6BDF" w14:paraId="568CC20B" w14:textId="77777777" w:rsidTr="00277175">
        <w:trPr>
          <w:trHeight w:val="300"/>
          <w:jc w:val="center"/>
        </w:trPr>
        <w:tc>
          <w:tcPr>
            <w:tcW w:w="2970" w:type="dxa"/>
            <w:vMerge w:val="restart"/>
            <w:tcBorders>
              <w:top w:val="nil"/>
              <w:left w:val="nil"/>
              <w:bottom w:val="nil"/>
              <w:right w:val="nil"/>
            </w:tcBorders>
            <w:shd w:val="clear" w:color="auto" w:fill="auto"/>
            <w:noWrap/>
            <w:vAlign w:val="bottom"/>
            <w:hideMark/>
          </w:tcPr>
          <w:p w14:paraId="595B18D9" w14:textId="77777777" w:rsidR="00277175" w:rsidRPr="002C6BDF" w:rsidRDefault="00277175">
            <w:pPr>
              <w:jc w:val="center"/>
            </w:pPr>
            <w:r w:rsidRPr="002C6BDF">
              <w:t>Parameter</w:t>
            </w:r>
          </w:p>
        </w:tc>
        <w:tc>
          <w:tcPr>
            <w:tcW w:w="3458" w:type="dxa"/>
            <w:gridSpan w:val="4"/>
            <w:tcBorders>
              <w:top w:val="nil"/>
              <w:left w:val="nil"/>
              <w:bottom w:val="nil"/>
              <w:right w:val="nil"/>
            </w:tcBorders>
            <w:shd w:val="clear" w:color="auto" w:fill="auto"/>
            <w:noWrap/>
            <w:vAlign w:val="bottom"/>
            <w:hideMark/>
          </w:tcPr>
          <w:p w14:paraId="16D5335F" w14:textId="77777777" w:rsidR="00277175" w:rsidRPr="002C6BDF" w:rsidRDefault="00277175">
            <w:pPr>
              <w:jc w:val="center"/>
              <w:rPr>
                <w:color w:val="000000"/>
              </w:rPr>
            </w:pPr>
            <w:r w:rsidRPr="002C6BDF">
              <w:rPr>
                <w:color w:val="000000"/>
              </w:rPr>
              <w:t>50 m</w:t>
            </w:r>
          </w:p>
        </w:tc>
        <w:tc>
          <w:tcPr>
            <w:tcW w:w="3460" w:type="dxa"/>
            <w:gridSpan w:val="4"/>
            <w:tcBorders>
              <w:top w:val="nil"/>
              <w:left w:val="nil"/>
              <w:bottom w:val="nil"/>
              <w:right w:val="nil"/>
            </w:tcBorders>
            <w:shd w:val="clear" w:color="auto" w:fill="auto"/>
            <w:noWrap/>
            <w:vAlign w:val="bottom"/>
            <w:hideMark/>
          </w:tcPr>
          <w:p w14:paraId="0C2084A1" w14:textId="77777777" w:rsidR="00277175" w:rsidRPr="002C6BDF" w:rsidRDefault="00277175">
            <w:pPr>
              <w:jc w:val="center"/>
              <w:rPr>
                <w:color w:val="000000"/>
              </w:rPr>
            </w:pPr>
            <w:r w:rsidRPr="002C6BDF">
              <w:rPr>
                <w:color w:val="000000"/>
              </w:rPr>
              <w:t>500 m</w:t>
            </w:r>
          </w:p>
        </w:tc>
      </w:tr>
      <w:tr w:rsidR="00277175" w:rsidRPr="002C6BDF" w14:paraId="471FA682" w14:textId="77777777" w:rsidTr="00277175">
        <w:trPr>
          <w:trHeight w:val="640"/>
          <w:jc w:val="center"/>
        </w:trPr>
        <w:tc>
          <w:tcPr>
            <w:tcW w:w="2970" w:type="dxa"/>
            <w:vMerge/>
            <w:tcBorders>
              <w:top w:val="nil"/>
              <w:left w:val="nil"/>
              <w:bottom w:val="single" w:sz="4" w:space="0" w:color="auto"/>
              <w:right w:val="nil"/>
            </w:tcBorders>
            <w:vAlign w:val="center"/>
            <w:hideMark/>
          </w:tcPr>
          <w:p w14:paraId="70FD0A9E" w14:textId="77777777" w:rsidR="00277175" w:rsidRPr="002C6BDF" w:rsidRDefault="00277175"/>
        </w:tc>
        <w:tc>
          <w:tcPr>
            <w:tcW w:w="878" w:type="dxa"/>
            <w:tcBorders>
              <w:top w:val="nil"/>
              <w:left w:val="nil"/>
              <w:bottom w:val="single" w:sz="4" w:space="0" w:color="auto"/>
              <w:right w:val="nil"/>
            </w:tcBorders>
            <w:shd w:val="clear" w:color="auto" w:fill="auto"/>
            <w:vAlign w:val="bottom"/>
            <w:hideMark/>
          </w:tcPr>
          <w:p w14:paraId="368D3B72" w14:textId="77777777" w:rsidR="00277175" w:rsidRPr="002C6BDF" w:rsidRDefault="00277175">
            <w:pPr>
              <w:jc w:val="center"/>
            </w:pPr>
            <w:r w:rsidRPr="002C6BDF">
              <w:t>Punch 1 (</w:t>
            </w:r>
            <w:proofErr w:type="spellStart"/>
            <w:r w:rsidRPr="002C6BDF">
              <w:t>μmol</w:t>
            </w:r>
            <w:proofErr w:type="spellEnd"/>
            <w:r w:rsidRPr="002C6BDF">
              <w:t>)</w:t>
            </w:r>
          </w:p>
        </w:tc>
        <w:tc>
          <w:tcPr>
            <w:tcW w:w="880" w:type="dxa"/>
            <w:tcBorders>
              <w:top w:val="nil"/>
              <w:left w:val="nil"/>
              <w:bottom w:val="single" w:sz="4" w:space="0" w:color="auto"/>
              <w:right w:val="nil"/>
            </w:tcBorders>
            <w:shd w:val="clear" w:color="auto" w:fill="auto"/>
            <w:vAlign w:val="bottom"/>
            <w:hideMark/>
          </w:tcPr>
          <w:p w14:paraId="632E5B8E" w14:textId="77777777" w:rsidR="00277175" w:rsidRPr="002C6BDF" w:rsidRDefault="00277175">
            <w:pPr>
              <w:jc w:val="center"/>
            </w:pPr>
            <w:r w:rsidRPr="002C6BDF">
              <w:t>Punch 2 (</w:t>
            </w:r>
            <w:proofErr w:type="spellStart"/>
            <w:r w:rsidRPr="002C6BDF">
              <w:t>μmol</w:t>
            </w:r>
            <w:proofErr w:type="spellEnd"/>
            <w:r w:rsidRPr="002C6BDF">
              <w:t>)</w:t>
            </w:r>
          </w:p>
        </w:tc>
        <w:tc>
          <w:tcPr>
            <w:tcW w:w="880" w:type="dxa"/>
            <w:tcBorders>
              <w:top w:val="nil"/>
              <w:left w:val="nil"/>
              <w:bottom w:val="single" w:sz="4" w:space="0" w:color="auto"/>
              <w:right w:val="nil"/>
            </w:tcBorders>
            <w:shd w:val="clear" w:color="auto" w:fill="auto"/>
            <w:vAlign w:val="bottom"/>
            <w:hideMark/>
          </w:tcPr>
          <w:p w14:paraId="047B39F2" w14:textId="77777777" w:rsidR="00277175" w:rsidRPr="002C6BDF" w:rsidRDefault="00277175">
            <w:pPr>
              <w:jc w:val="center"/>
            </w:pPr>
            <w:r w:rsidRPr="002C6BDF">
              <w:t>Punch 3 (</w:t>
            </w:r>
            <w:proofErr w:type="spellStart"/>
            <w:r w:rsidRPr="002C6BDF">
              <w:t>μmol</w:t>
            </w:r>
            <w:proofErr w:type="spellEnd"/>
            <w:r w:rsidRPr="002C6BDF">
              <w:t>)</w:t>
            </w:r>
          </w:p>
        </w:tc>
        <w:tc>
          <w:tcPr>
            <w:tcW w:w="820" w:type="dxa"/>
            <w:tcBorders>
              <w:top w:val="nil"/>
              <w:left w:val="nil"/>
              <w:bottom w:val="single" w:sz="4" w:space="0" w:color="auto"/>
              <w:right w:val="nil"/>
            </w:tcBorders>
            <w:shd w:val="clear" w:color="auto" w:fill="auto"/>
            <w:noWrap/>
            <w:vAlign w:val="bottom"/>
            <w:hideMark/>
          </w:tcPr>
          <w:p w14:paraId="066AA6D9" w14:textId="77777777" w:rsidR="00277175" w:rsidRPr="002C6BDF" w:rsidRDefault="00277175">
            <w:pPr>
              <w:jc w:val="center"/>
            </w:pPr>
            <w:r w:rsidRPr="002C6BDF">
              <w:t>RSD (</w:t>
            </w:r>
            <w:proofErr w:type="gramStart"/>
            <w:r w:rsidRPr="002C6BDF">
              <w:t>%)</w:t>
            </w:r>
            <w:r w:rsidRPr="002C6BDF">
              <w:rPr>
                <w:vertAlign w:val="superscript"/>
              </w:rPr>
              <w:t>b</w:t>
            </w:r>
            <w:proofErr w:type="gramEnd"/>
          </w:p>
        </w:tc>
        <w:tc>
          <w:tcPr>
            <w:tcW w:w="880" w:type="dxa"/>
            <w:tcBorders>
              <w:top w:val="nil"/>
              <w:left w:val="nil"/>
              <w:bottom w:val="single" w:sz="4" w:space="0" w:color="auto"/>
              <w:right w:val="nil"/>
            </w:tcBorders>
            <w:shd w:val="clear" w:color="auto" w:fill="auto"/>
            <w:vAlign w:val="bottom"/>
            <w:hideMark/>
          </w:tcPr>
          <w:p w14:paraId="448F9392" w14:textId="77777777" w:rsidR="00277175" w:rsidRPr="002C6BDF" w:rsidRDefault="00277175">
            <w:pPr>
              <w:jc w:val="center"/>
            </w:pPr>
            <w:r w:rsidRPr="002C6BDF">
              <w:t>Punch 1 (</w:t>
            </w:r>
            <w:proofErr w:type="spellStart"/>
            <w:r w:rsidRPr="002C6BDF">
              <w:t>μmol</w:t>
            </w:r>
            <w:proofErr w:type="spellEnd"/>
            <w:r w:rsidRPr="002C6BDF">
              <w:t>)</w:t>
            </w:r>
          </w:p>
        </w:tc>
        <w:tc>
          <w:tcPr>
            <w:tcW w:w="880" w:type="dxa"/>
            <w:tcBorders>
              <w:top w:val="nil"/>
              <w:left w:val="nil"/>
              <w:bottom w:val="single" w:sz="4" w:space="0" w:color="auto"/>
              <w:right w:val="nil"/>
            </w:tcBorders>
            <w:shd w:val="clear" w:color="auto" w:fill="auto"/>
            <w:vAlign w:val="bottom"/>
            <w:hideMark/>
          </w:tcPr>
          <w:p w14:paraId="531D1F7B" w14:textId="77777777" w:rsidR="00277175" w:rsidRPr="002C6BDF" w:rsidRDefault="00277175">
            <w:pPr>
              <w:jc w:val="center"/>
            </w:pPr>
            <w:r w:rsidRPr="002C6BDF">
              <w:t>Punch 2 (</w:t>
            </w:r>
            <w:proofErr w:type="spellStart"/>
            <w:r w:rsidRPr="002C6BDF">
              <w:t>μmol</w:t>
            </w:r>
            <w:proofErr w:type="spellEnd"/>
            <w:r w:rsidRPr="002C6BDF">
              <w:t>)</w:t>
            </w:r>
          </w:p>
        </w:tc>
        <w:tc>
          <w:tcPr>
            <w:tcW w:w="880" w:type="dxa"/>
            <w:tcBorders>
              <w:top w:val="nil"/>
              <w:left w:val="nil"/>
              <w:bottom w:val="single" w:sz="4" w:space="0" w:color="auto"/>
              <w:right w:val="nil"/>
            </w:tcBorders>
            <w:shd w:val="clear" w:color="auto" w:fill="auto"/>
            <w:vAlign w:val="bottom"/>
            <w:hideMark/>
          </w:tcPr>
          <w:p w14:paraId="1F4D8A8D" w14:textId="77777777" w:rsidR="00277175" w:rsidRPr="002C6BDF" w:rsidRDefault="00277175">
            <w:pPr>
              <w:jc w:val="center"/>
            </w:pPr>
            <w:r w:rsidRPr="002C6BDF">
              <w:t>Punch 3 (</w:t>
            </w:r>
            <w:proofErr w:type="spellStart"/>
            <w:r w:rsidRPr="002C6BDF">
              <w:t>μmol</w:t>
            </w:r>
            <w:proofErr w:type="spellEnd"/>
            <w:r w:rsidRPr="002C6BDF">
              <w:t>)</w:t>
            </w:r>
          </w:p>
        </w:tc>
        <w:tc>
          <w:tcPr>
            <w:tcW w:w="820" w:type="dxa"/>
            <w:tcBorders>
              <w:top w:val="nil"/>
              <w:left w:val="nil"/>
              <w:bottom w:val="single" w:sz="4" w:space="0" w:color="auto"/>
              <w:right w:val="nil"/>
            </w:tcBorders>
            <w:shd w:val="clear" w:color="auto" w:fill="auto"/>
            <w:noWrap/>
            <w:vAlign w:val="bottom"/>
            <w:hideMark/>
          </w:tcPr>
          <w:p w14:paraId="7CC90708" w14:textId="77777777" w:rsidR="00277175" w:rsidRPr="002C6BDF" w:rsidRDefault="00277175">
            <w:pPr>
              <w:jc w:val="center"/>
            </w:pPr>
            <w:r w:rsidRPr="002C6BDF">
              <w:t>RSD (</w:t>
            </w:r>
            <w:proofErr w:type="gramStart"/>
            <w:r w:rsidRPr="002C6BDF">
              <w:t>%)</w:t>
            </w:r>
            <w:r w:rsidRPr="002C6BDF">
              <w:rPr>
                <w:vertAlign w:val="superscript"/>
              </w:rPr>
              <w:t>b</w:t>
            </w:r>
            <w:proofErr w:type="gramEnd"/>
          </w:p>
        </w:tc>
      </w:tr>
      <w:tr w:rsidR="00277175" w:rsidRPr="002C6BDF" w14:paraId="528E5376" w14:textId="77777777" w:rsidTr="00277175">
        <w:trPr>
          <w:trHeight w:val="300"/>
          <w:jc w:val="center"/>
        </w:trPr>
        <w:tc>
          <w:tcPr>
            <w:tcW w:w="2970" w:type="dxa"/>
            <w:tcBorders>
              <w:top w:val="single" w:sz="4" w:space="0" w:color="auto"/>
              <w:left w:val="nil"/>
              <w:bottom w:val="nil"/>
              <w:right w:val="nil"/>
            </w:tcBorders>
            <w:shd w:val="clear" w:color="auto" w:fill="auto"/>
            <w:noWrap/>
            <w:vAlign w:val="bottom"/>
            <w:hideMark/>
          </w:tcPr>
          <w:p w14:paraId="24439295" w14:textId="77777777" w:rsidR="00277175" w:rsidRPr="002C6BDF" w:rsidRDefault="00277175">
            <w:pPr>
              <w:rPr>
                <w:color w:val="000000"/>
              </w:rPr>
            </w:pPr>
            <w:r w:rsidRPr="002C6BDF">
              <w:rPr>
                <w:color w:val="000000"/>
              </w:rPr>
              <w:t>Particulate carbon</w:t>
            </w:r>
          </w:p>
        </w:tc>
        <w:tc>
          <w:tcPr>
            <w:tcW w:w="878" w:type="dxa"/>
            <w:tcBorders>
              <w:top w:val="single" w:sz="4" w:space="0" w:color="auto"/>
              <w:left w:val="nil"/>
              <w:bottom w:val="nil"/>
              <w:right w:val="nil"/>
            </w:tcBorders>
            <w:shd w:val="clear" w:color="auto" w:fill="auto"/>
            <w:noWrap/>
            <w:vAlign w:val="bottom"/>
            <w:hideMark/>
          </w:tcPr>
          <w:p w14:paraId="4F5B314C" w14:textId="77777777" w:rsidR="00277175" w:rsidRPr="002C6BDF" w:rsidRDefault="00277175">
            <w:pPr>
              <w:jc w:val="center"/>
              <w:rPr>
                <w:color w:val="000000"/>
              </w:rPr>
            </w:pPr>
            <w:r w:rsidRPr="002C6BDF">
              <w:rPr>
                <w:color w:val="000000"/>
              </w:rPr>
              <w:t>33.9</w:t>
            </w:r>
          </w:p>
        </w:tc>
        <w:tc>
          <w:tcPr>
            <w:tcW w:w="880" w:type="dxa"/>
            <w:tcBorders>
              <w:top w:val="single" w:sz="4" w:space="0" w:color="auto"/>
              <w:left w:val="nil"/>
              <w:bottom w:val="nil"/>
              <w:right w:val="nil"/>
            </w:tcBorders>
            <w:shd w:val="clear" w:color="auto" w:fill="auto"/>
            <w:noWrap/>
            <w:vAlign w:val="bottom"/>
            <w:hideMark/>
          </w:tcPr>
          <w:p w14:paraId="787F2246" w14:textId="77777777" w:rsidR="00277175" w:rsidRPr="002C6BDF" w:rsidRDefault="00277175">
            <w:pPr>
              <w:jc w:val="center"/>
              <w:rPr>
                <w:color w:val="000000"/>
              </w:rPr>
            </w:pPr>
            <w:r w:rsidRPr="002C6BDF">
              <w:rPr>
                <w:color w:val="000000"/>
              </w:rPr>
              <w:t>34.9</w:t>
            </w:r>
          </w:p>
        </w:tc>
        <w:tc>
          <w:tcPr>
            <w:tcW w:w="880" w:type="dxa"/>
            <w:tcBorders>
              <w:top w:val="single" w:sz="4" w:space="0" w:color="auto"/>
              <w:left w:val="nil"/>
              <w:bottom w:val="nil"/>
              <w:right w:val="nil"/>
            </w:tcBorders>
            <w:shd w:val="clear" w:color="auto" w:fill="auto"/>
            <w:noWrap/>
            <w:vAlign w:val="bottom"/>
            <w:hideMark/>
          </w:tcPr>
          <w:p w14:paraId="4052C653" w14:textId="77777777" w:rsidR="00277175" w:rsidRPr="002C6BDF" w:rsidRDefault="00277175">
            <w:pPr>
              <w:jc w:val="center"/>
              <w:rPr>
                <w:color w:val="000000"/>
              </w:rPr>
            </w:pPr>
            <w:r w:rsidRPr="002C6BDF">
              <w:rPr>
                <w:color w:val="000000"/>
              </w:rPr>
              <w:t>34.5</w:t>
            </w:r>
          </w:p>
        </w:tc>
        <w:tc>
          <w:tcPr>
            <w:tcW w:w="820" w:type="dxa"/>
            <w:tcBorders>
              <w:top w:val="single" w:sz="4" w:space="0" w:color="auto"/>
              <w:left w:val="nil"/>
              <w:bottom w:val="nil"/>
              <w:right w:val="nil"/>
            </w:tcBorders>
            <w:shd w:val="clear" w:color="auto" w:fill="auto"/>
            <w:noWrap/>
            <w:vAlign w:val="bottom"/>
            <w:hideMark/>
          </w:tcPr>
          <w:p w14:paraId="428F3166" w14:textId="77777777" w:rsidR="00277175" w:rsidRPr="002C6BDF" w:rsidRDefault="00277175">
            <w:pPr>
              <w:jc w:val="center"/>
              <w:rPr>
                <w:color w:val="000000"/>
              </w:rPr>
            </w:pPr>
            <w:r w:rsidRPr="002C6BDF">
              <w:rPr>
                <w:color w:val="000000"/>
              </w:rPr>
              <w:t>1</w:t>
            </w:r>
          </w:p>
        </w:tc>
        <w:tc>
          <w:tcPr>
            <w:tcW w:w="880" w:type="dxa"/>
            <w:tcBorders>
              <w:top w:val="single" w:sz="4" w:space="0" w:color="auto"/>
              <w:left w:val="nil"/>
              <w:bottom w:val="nil"/>
              <w:right w:val="nil"/>
            </w:tcBorders>
            <w:shd w:val="clear" w:color="auto" w:fill="auto"/>
            <w:noWrap/>
            <w:vAlign w:val="bottom"/>
            <w:hideMark/>
          </w:tcPr>
          <w:p w14:paraId="0A66E854" w14:textId="77777777" w:rsidR="00277175" w:rsidRPr="002C6BDF" w:rsidRDefault="00277175">
            <w:pPr>
              <w:jc w:val="center"/>
              <w:rPr>
                <w:color w:val="000000"/>
              </w:rPr>
            </w:pPr>
            <w:r w:rsidRPr="002C6BDF">
              <w:rPr>
                <w:color w:val="000000"/>
              </w:rPr>
              <w:t>5.08</w:t>
            </w:r>
          </w:p>
        </w:tc>
        <w:tc>
          <w:tcPr>
            <w:tcW w:w="880" w:type="dxa"/>
            <w:tcBorders>
              <w:top w:val="single" w:sz="4" w:space="0" w:color="auto"/>
              <w:left w:val="nil"/>
              <w:bottom w:val="nil"/>
              <w:right w:val="nil"/>
            </w:tcBorders>
            <w:shd w:val="clear" w:color="auto" w:fill="auto"/>
            <w:noWrap/>
            <w:vAlign w:val="bottom"/>
            <w:hideMark/>
          </w:tcPr>
          <w:p w14:paraId="28EBA2ED" w14:textId="77777777" w:rsidR="00277175" w:rsidRPr="002C6BDF" w:rsidRDefault="00277175">
            <w:pPr>
              <w:jc w:val="center"/>
              <w:rPr>
                <w:color w:val="000000"/>
              </w:rPr>
            </w:pPr>
            <w:r w:rsidRPr="002C6BDF">
              <w:rPr>
                <w:color w:val="000000"/>
              </w:rPr>
              <w:t>4.68</w:t>
            </w:r>
          </w:p>
        </w:tc>
        <w:tc>
          <w:tcPr>
            <w:tcW w:w="880" w:type="dxa"/>
            <w:tcBorders>
              <w:top w:val="single" w:sz="4" w:space="0" w:color="auto"/>
              <w:left w:val="nil"/>
              <w:bottom w:val="nil"/>
              <w:right w:val="nil"/>
            </w:tcBorders>
            <w:shd w:val="clear" w:color="auto" w:fill="auto"/>
            <w:noWrap/>
            <w:vAlign w:val="bottom"/>
            <w:hideMark/>
          </w:tcPr>
          <w:p w14:paraId="72D631B7" w14:textId="77777777" w:rsidR="00277175" w:rsidRPr="002C6BDF" w:rsidRDefault="00277175">
            <w:pPr>
              <w:jc w:val="center"/>
              <w:rPr>
                <w:color w:val="000000"/>
              </w:rPr>
            </w:pPr>
            <w:r w:rsidRPr="002C6BDF">
              <w:rPr>
                <w:color w:val="000000"/>
              </w:rPr>
              <w:t>4.62</w:t>
            </w:r>
          </w:p>
        </w:tc>
        <w:tc>
          <w:tcPr>
            <w:tcW w:w="820" w:type="dxa"/>
            <w:tcBorders>
              <w:top w:val="single" w:sz="4" w:space="0" w:color="auto"/>
              <w:left w:val="nil"/>
              <w:bottom w:val="nil"/>
              <w:right w:val="nil"/>
            </w:tcBorders>
            <w:shd w:val="clear" w:color="auto" w:fill="auto"/>
            <w:noWrap/>
            <w:vAlign w:val="bottom"/>
            <w:hideMark/>
          </w:tcPr>
          <w:p w14:paraId="1E3E2E99" w14:textId="77777777" w:rsidR="00277175" w:rsidRPr="002C6BDF" w:rsidRDefault="00277175">
            <w:pPr>
              <w:jc w:val="center"/>
              <w:rPr>
                <w:color w:val="000000"/>
              </w:rPr>
            </w:pPr>
            <w:r w:rsidRPr="002C6BDF">
              <w:rPr>
                <w:color w:val="000000"/>
              </w:rPr>
              <w:t>5</w:t>
            </w:r>
          </w:p>
        </w:tc>
      </w:tr>
      <w:tr w:rsidR="00277175" w:rsidRPr="002C6BDF" w14:paraId="1C9C397E" w14:textId="77777777" w:rsidTr="00277175">
        <w:trPr>
          <w:trHeight w:val="300"/>
          <w:jc w:val="center"/>
        </w:trPr>
        <w:tc>
          <w:tcPr>
            <w:tcW w:w="2970" w:type="dxa"/>
            <w:tcBorders>
              <w:top w:val="nil"/>
              <w:left w:val="nil"/>
              <w:bottom w:val="nil"/>
              <w:right w:val="nil"/>
            </w:tcBorders>
            <w:shd w:val="clear" w:color="auto" w:fill="auto"/>
            <w:noWrap/>
            <w:vAlign w:val="bottom"/>
            <w:hideMark/>
          </w:tcPr>
          <w:p w14:paraId="3924B254" w14:textId="77777777" w:rsidR="00277175" w:rsidRPr="002C6BDF" w:rsidRDefault="00277175">
            <w:pPr>
              <w:rPr>
                <w:color w:val="000000"/>
              </w:rPr>
            </w:pPr>
            <w:r w:rsidRPr="002C6BDF">
              <w:rPr>
                <w:color w:val="000000"/>
              </w:rPr>
              <w:t>Particulate nitrogen</w:t>
            </w:r>
          </w:p>
        </w:tc>
        <w:tc>
          <w:tcPr>
            <w:tcW w:w="878" w:type="dxa"/>
            <w:tcBorders>
              <w:top w:val="nil"/>
              <w:left w:val="nil"/>
              <w:bottom w:val="nil"/>
              <w:right w:val="nil"/>
            </w:tcBorders>
            <w:shd w:val="clear" w:color="auto" w:fill="auto"/>
            <w:noWrap/>
            <w:vAlign w:val="bottom"/>
            <w:hideMark/>
          </w:tcPr>
          <w:p w14:paraId="4FDA1FE6" w14:textId="77777777" w:rsidR="00277175" w:rsidRPr="002C6BDF" w:rsidRDefault="00277175">
            <w:pPr>
              <w:jc w:val="center"/>
              <w:rPr>
                <w:color w:val="000000"/>
              </w:rPr>
            </w:pPr>
            <w:r w:rsidRPr="002C6BDF">
              <w:rPr>
                <w:color w:val="000000"/>
              </w:rPr>
              <w:t>5.66</w:t>
            </w:r>
          </w:p>
        </w:tc>
        <w:tc>
          <w:tcPr>
            <w:tcW w:w="880" w:type="dxa"/>
            <w:tcBorders>
              <w:top w:val="nil"/>
              <w:left w:val="nil"/>
              <w:bottom w:val="nil"/>
              <w:right w:val="nil"/>
            </w:tcBorders>
            <w:shd w:val="clear" w:color="auto" w:fill="auto"/>
            <w:noWrap/>
            <w:vAlign w:val="bottom"/>
            <w:hideMark/>
          </w:tcPr>
          <w:p w14:paraId="7E069D28" w14:textId="77777777" w:rsidR="00277175" w:rsidRPr="002C6BDF" w:rsidRDefault="00277175">
            <w:pPr>
              <w:jc w:val="center"/>
              <w:rPr>
                <w:color w:val="000000"/>
              </w:rPr>
            </w:pPr>
            <w:r w:rsidRPr="002C6BDF">
              <w:rPr>
                <w:color w:val="000000"/>
              </w:rPr>
              <w:t>5.32</w:t>
            </w:r>
          </w:p>
        </w:tc>
        <w:tc>
          <w:tcPr>
            <w:tcW w:w="880" w:type="dxa"/>
            <w:tcBorders>
              <w:top w:val="nil"/>
              <w:left w:val="nil"/>
              <w:bottom w:val="nil"/>
              <w:right w:val="nil"/>
            </w:tcBorders>
            <w:shd w:val="clear" w:color="auto" w:fill="auto"/>
            <w:noWrap/>
            <w:vAlign w:val="bottom"/>
            <w:hideMark/>
          </w:tcPr>
          <w:p w14:paraId="5EC8093B" w14:textId="77777777" w:rsidR="00277175" w:rsidRPr="002C6BDF" w:rsidRDefault="00277175">
            <w:pPr>
              <w:jc w:val="center"/>
              <w:rPr>
                <w:color w:val="000000"/>
              </w:rPr>
            </w:pPr>
            <w:r w:rsidRPr="002C6BDF">
              <w:rPr>
                <w:color w:val="000000"/>
              </w:rPr>
              <w:t>6.02</w:t>
            </w:r>
          </w:p>
        </w:tc>
        <w:tc>
          <w:tcPr>
            <w:tcW w:w="820" w:type="dxa"/>
            <w:tcBorders>
              <w:top w:val="nil"/>
              <w:left w:val="nil"/>
              <w:bottom w:val="nil"/>
              <w:right w:val="nil"/>
            </w:tcBorders>
            <w:shd w:val="clear" w:color="auto" w:fill="auto"/>
            <w:noWrap/>
            <w:vAlign w:val="bottom"/>
            <w:hideMark/>
          </w:tcPr>
          <w:p w14:paraId="3B170675" w14:textId="77777777" w:rsidR="00277175" w:rsidRPr="002C6BDF" w:rsidRDefault="00277175">
            <w:pPr>
              <w:jc w:val="center"/>
              <w:rPr>
                <w:color w:val="000000"/>
              </w:rPr>
            </w:pPr>
            <w:r w:rsidRPr="002C6BDF">
              <w:rPr>
                <w:color w:val="000000"/>
              </w:rPr>
              <w:t>6</w:t>
            </w:r>
          </w:p>
        </w:tc>
        <w:tc>
          <w:tcPr>
            <w:tcW w:w="880" w:type="dxa"/>
            <w:tcBorders>
              <w:top w:val="nil"/>
              <w:left w:val="nil"/>
              <w:bottom w:val="nil"/>
              <w:right w:val="nil"/>
            </w:tcBorders>
            <w:shd w:val="clear" w:color="auto" w:fill="auto"/>
            <w:noWrap/>
            <w:vAlign w:val="bottom"/>
            <w:hideMark/>
          </w:tcPr>
          <w:p w14:paraId="7D5F912A" w14:textId="77777777" w:rsidR="00277175" w:rsidRPr="002C6BDF" w:rsidRDefault="00277175">
            <w:pPr>
              <w:jc w:val="center"/>
              <w:rPr>
                <w:color w:val="000000"/>
              </w:rPr>
            </w:pPr>
            <w:r w:rsidRPr="002C6BDF">
              <w:rPr>
                <w:color w:val="000000"/>
              </w:rPr>
              <w:t>0.831</w:t>
            </w:r>
          </w:p>
        </w:tc>
        <w:tc>
          <w:tcPr>
            <w:tcW w:w="880" w:type="dxa"/>
            <w:tcBorders>
              <w:top w:val="nil"/>
              <w:left w:val="nil"/>
              <w:bottom w:val="nil"/>
              <w:right w:val="nil"/>
            </w:tcBorders>
            <w:shd w:val="clear" w:color="auto" w:fill="auto"/>
            <w:noWrap/>
            <w:vAlign w:val="bottom"/>
            <w:hideMark/>
          </w:tcPr>
          <w:p w14:paraId="5650F038" w14:textId="77777777" w:rsidR="00277175" w:rsidRPr="002C6BDF" w:rsidRDefault="00277175">
            <w:pPr>
              <w:jc w:val="center"/>
              <w:rPr>
                <w:color w:val="000000"/>
              </w:rPr>
            </w:pPr>
            <w:r w:rsidRPr="002C6BDF">
              <w:rPr>
                <w:color w:val="000000"/>
              </w:rPr>
              <w:t>0.732</w:t>
            </w:r>
          </w:p>
        </w:tc>
        <w:tc>
          <w:tcPr>
            <w:tcW w:w="880" w:type="dxa"/>
            <w:tcBorders>
              <w:top w:val="nil"/>
              <w:left w:val="nil"/>
              <w:bottom w:val="nil"/>
              <w:right w:val="nil"/>
            </w:tcBorders>
            <w:shd w:val="clear" w:color="auto" w:fill="auto"/>
            <w:noWrap/>
            <w:vAlign w:val="bottom"/>
            <w:hideMark/>
          </w:tcPr>
          <w:p w14:paraId="7A1C66D6" w14:textId="77777777" w:rsidR="00277175" w:rsidRPr="002C6BDF" w:rsidRDefault="00277175">
            <w:pPr>
              <w:jc w:val="center"/>
              <w:rPr>
                <w:color w:val="000000"/>
              </w:rPr>
            </w:pPr>
            <w:r w:rsidRPr="002C6BDF">
              <w:rPr>
                <w:color w:val="000000"/>
              </w:rPr>
              <w:t>0.727</w:t>
            </w:r>
          </w:p>
        </w:tc>
        <w:tc>
          <w:tcPr>
            <w:tcW w:w="820" w:type="dxa"/>
            <w:tcBorders>
              <w:top w:val="nil"/>
              <w:left w:val="nil"/>
              <w:bottom w:val="nil"/>
              <w:right w:val="nil"/>
            </w:tcBorders>
            <w:shd w:val="clear" w:color="auto" w:fill="auto"/>
            <w:noWrap/>
            <w:vAlign w:val="bottom"/>
            <w:hideMark/>
          </w:tcPr>
          <w:p w14:paraId="2EA21F6C" w14:textId="77777777" w:rsidR="00277175" w:rsidRPr="002C6BDF" w:rsidRDefault="00277175">
            <w:pPr>
              <w:jc w:val="center"/>
              <w:rPr>
                <w:color w:val="000000"/>
              </w:rPr>
            </w:pPr>
            <w:r w:rsidRPr="002C6BDF">
              <w:rPr>
                <w:color w:val="000000"/>
              </w:rPr>
              <w:t>8</w:t>
            </w:r>
          </w:p>
        </w:tc>
      </w:tr>
      <w:tr w:rsidR="00277175" w:rsidRPr="002C6BDF" w14:paraId="3B7E4E42" w14:textId="77777777" w:rsidTr="00277175">
        <w:trPr>
          <w:trHeight w:val="300"/>
          <w:jc w:val="center"/>
        </w:trPr>
        <w:tc>
          <w:tcPr>
            <w:tcW w:w="2970" w:type="dxa"/>
            <w:tcBorders>
              <w:top w:val="nil"/>
              <w:left w:val="nil"/>
              <w:bottom w:val="nil"/>
              <w:right w:val="nil"/>
            </w:tcBorders>
            <w:shd w:val="clear" w:color="auto" w:fill="auto"/>
            <w:noWrap/>
            <w:vAlign w:val="bottom"/>
            <w:hideMark/>
          </w:tcPr>
          <w:p w14:paraId="305666A6" w14:textId="77777777" w:rsidR="00277175" w:rsidRPr="002C6BDF" w:rsidRDefault="00277175">
            <w:pPr>
              <w:rPr>
                <w:color w:val="000000"/>
              </w:rPr>
            </w:pPr>
            <w:r w:rsidRPr="002C6BDF">
              <w:rPr>
                <w:color w:val="000000"/>
              </w:rPr>
              <w:t>Total particulate phosphorus</w:t>
            </w:r>
          </w:p>
        </w:tc>
        <w:tc>
          <w:tcPr>
            <w:tcW w:w="878" w:type="dxa"/>
            <w:tcBorders>
              <w:top w:val="nil"/>
              <w:left w:val="nil"/>
              <w:bottom w:val="nil"/>
              <w:right w:val="nil"/>
            </w:tcBorders>
            <w:shd w:val="clear" w:color="auto" w:fill="auto"/>
            <w:noWrap/>
            <w:vAlign w:val="bottom"/>
            <w:hideMark/>
          </w:tcPr>
          <w:p w14:paraId="7DACB9E7" w14:textId="77777777" w:rsidR="00277175" w:rsidRPr="002C6BDF" w:rsidRDefault="00277175">
            <w:pPr>
              <w:jc w:val="center"/>
              <w:rPr>
                <w:color w:val="000000"/>
              </w:rPr>
            </w:pPr>
            <w:r w:rsidRPr="002C6BDF">
              <w:rPr>
                <w:color w:val="000000"/>
              </w:rPr>
              <w:t>0.359</w:t>
            </w:r>
          </w:p>
        </w:tc>
        <w:tc>
          <w:tcPr>
            <w:tcW w:w="880" w:type="dxa"/>
            <w:tcBorders>
              <w:top w:val="nil"/>
              <w:left w:val="nil"/>
              <w:bottom w:val="nil"/>
              <w:right w:val="nil"/>
            </w:tcBorders>
            <w:shd w:val="clear" w:color="auto" w:fill="auto"/>
            <w:noWrap/>
            <w:vAlign w:val="bottom"/>
            <w:hideMark/>
          </w:tcPr>
          <w:p w14:paraId="6664DDAF" w14:textId="77777777" w:rsidR="00277175" w:rsidRPr="002C6BDF" w:rsidRDefault="00277175">
            <w:pPr>
              <w:jc w:val="center"/>
              <w:rPr>
                <w:color w:val="000000"/>
              </w:rPr>
            </w:pPr>
            <w:r w:rsidRPr="002C6BDF">
              <w:rPr>
                <w:color w:val="000000"/>
              </w:rPr>
              <w:t>0.351</w:t>
            </w:r>
          </w:p>
        </w:tc>
        <w:tc>
          <w:tcPr>
            <w:tcW w:w="880" w:type="dxa"/>
            <w:tcBorders>
              <w:top w:val="nil"/>
              <w:left w:val="nil"/>
              <w:bottom w:val="nil"/>
              <w:right w:val="nil"/>
            </w:tcBorders>
            <w:shd w:val="clear" w:color="auto" w:fill="auto"/>
            <w:noWrap/>
            <w:vAlign w:val="bottom"/>
            <w:hideMark/>
          </w:tcPr>
          <w:p w14:paraId="46996BB3" w14:textId="77777777" w:rsidR="00277175" w:rsidRPr="002C6BDF" w:rsidRDefault="00277175">
            <w:pPr>
              <w:jc w:val="center"/>
              <w:rPr>
                <w:color w:val="000000"/>
              </w:rPr>
            </w:pPr>
            <w:r w:rsidRPr="002C6BDF">
              <w:rPr>
                <w:color w:val="000000"/>
              </w:rPr>
              <w:t>0.365</w:t>
            </w:r>
          </w:p>
        </w:tc>
        <w:tc>
          <w:tcPr>
            <w:tcW w:w="820" w:type="dxa"/>
            <w:tcBorders>
              <w:top w:val="nil"/>
              <w:left w:val="nil"/>
              <w:bottom w:val="nil"/>
              <w:right w:val="nil"/>
            </w:tcBorders>
            <w:shd w:val="clear" w:color="auto" w:fill="auto"/>
            <w:noWrap/>
            <w:vAlign w:val="bottom"/>
            <w:hideMark/>
          </w:tcPr>
          <w:p w14:paraId="06C585CD" w14:textId="77777777" w:rsidR="00277175" w:rsidRPr="002C6BDF" w:rsidRDefault="00277175">
            <w:pPr>
              <w:jc w:val="center"/>
              <w:rPr>
                <w:color w:val="000000"/>
              </w:rPr>
            </w:pPr>
            <w:r w:rsidRPr="002C6BDF">
              <w:rPr>
                <w:color w:val="000000"/>
              </w:rPr>
              <w:t>2</w:t>
            </w:r>
          </w:p>
        </w:tc>
        <w:tc>
          <w:tcPr>
            <w:tcW w:w="880" w:type="dxa"/>
            <w:tcBorders>
              <w:top w:val="nil"/>
              <w:left w:val="nil"/>
              <w:bottom w:val="nil"/>
              <w:right w:val="nil"/>
            </w:tcBorders>
            <w:shd w:val="clear" w:color="auto" w:fill="auto"/>
            <w:noWrap/>
            <w:vAlign w:val="bottom"/>
            <w:hideMark/>
          </w:tcPr>
          <w:p w14:paraId="62AABFCB" w14:textId="77777777" w:rsidR="00277175" w:rsidRPr="002C6BDF" w:rsidRDefault="00277175">
            <w:pPr>
              <w:jc w:val="center"/>
              <w:rPr>
                <w:color w:val="000000"/>
              </w:rPr>
            </w:pPr>
            <w:r w:rsidRPr="002C6BDF">
              <w:rPr>
                <w:color w:val="000000"/>
              </w:rPr>
              <w:t>0.102</w:t>
            </w:r>
          </w:p>
        </w:tc>
        <w:tc>
          <w:tcPr>
            <w:tcW w:w="880" w:type="dxa"/>
            <w:tcBorders>
              <w:top w:val="nil"/>
              <w:left w:val="nil"/>
              <w:bottom w:val="nil"/>
              <w:right w:val="nil"/>
            </w:tcBorders>
            <w:shd w:val="clear" w:color="auto" w:fill="auto"/>
            <w:noWrap/>
            <w:vAlign w:val="bottom"/>
            <w:hideMark/>
          </w:tcPr>
          <w:p w14:paraId="4B8CC309" w14:textId="77777777" w:rsidR="00277175" w:rsidRPr="002C6BDF" w:rsidRDefault="00277175">
            <w:pPr>
              <w:jc w:val="center"/>
              <w:rPr>
                <w:color w:val="000000"/>
              </w:rPr>
            </w:pPr>
            <w:r w:rsidRPr="002C6BDF">
              <w:rPr>
                <w:color w:val="000000"/>
              </w:rPr>
              <w:t>0.098</w:t>
            </w:r>
          </w:p>
        </w:tc>
        <w:tc>
          <w:tcPr>
            <w:tcW w:w="880" w:type="dxa"/>
            <w:tcBorders>
              <w:top w:val="nil"/>
              <w:left w:val="nil"/>
              <w:bottom w:val="nil"/>
              <w:right w:val="nil"/>
            </w:tcBorders>
            <w:shd w:val="clear" w:color="auto" w:fill="auto"/>
            <w:noWrap/>
            <w:vAlign w:val="bottom"/>
            <w:hideMark/>
          </w:tcPr>
          <w:p w14:paraId="72230682" w14:textId="77777777" w:rsidR="00277175" w:rsidRPr="002C6BDF" w:rsidRDefault="00277175">
            <w:pPr>
              <w:jc w:val="center"/>
              <w:rPr>
                <w:color w:val="000000"/>
              </w:rPr>
            </w:pPr>
            <w:r w:rsidRPr="002C6BDF">
              <w:rPr>
                <w:color w:val="000000"/>
              </w:rPr>
              <w:t>0.100</w:t>
            </w:r>
          </w:p>
        </w:tc>
        <w:tc>
          <w:tcPr>
            <w:tcW w:w="820" w:type="dxa"/>
            <w:tcBorders>
              <w:top w:val="nil"/>
              <w:left w:val="nil"/>
              <w:bottom w:val="nil"/>
              <w:right w:val="nil"/>
            </w:tcBorders>
            <w:shd w:val="clear" w:color="auto" w:fill="auto"/>
            <w:noWrap/>
            <w:vAlign w:val="bottom"/>
            <w:hideMark/>
          </w:tcPr>
          <w:p w14:paraId="44BDAC0D" w14:textId="77777777" w:rsidR="00277175" w:rsidRPr="002C6BDF" w:rsidRDefault="00277175">
            <w:pPr>
              <w:jc w:val="center"/>
              <w:rPr>
                <w:color w:val="000000"/>
              </w:rPr>
            </w:pPr>
            <w:r w:rsidRPr="002C6BDF">
              <w:rPr>
                <w:color w:val="000000"/>
              </w:rPr>
              <w:t>2</w:t>
            </w:r>
          </w:p>
        </w:tc>
      </w:tr>
      <w:tr w:rsidR="00277175" w:rsidRPr="002C6BDF" w14:paraId="147EE7A6" w14:textId="77777777" w:rsidTr="00277175">
        <w:trPr>
          <w:trHeight w:val="300"/>
          <w:jc w:val="center"/>
        </w:trPr>
        <w:tc>
          <w:tcPr>
            <w:tcW w:w="2970" w:type="dxa"/>
            <w:tcBorders>
              <w:top w:val="nil"/>
              <w:left w:val="nil"/>
              <w:bottom w:val="nil"/>
              <w:right w:val="nil"/>
            </w:tcBorders>
            <w:shd w:val="clear" w:color="auto" w:fill="auto"/>
            <w:noWrap/>
            <w:vAlign w:val="bottom"/>
            <w:hideMark/>
          </w:tcPr>
          <w:p w14:paraId="778D0427" w14:textId="77777777" w:rsidR="00277175" w:rsidRPr="002C6BDF" w:rsidRDefault="00277175">
            <w:pPr>
              <w:rPr>
                <w:color w:val="000000"/>
              </w:rPr>
            </w:pPr>
            <w:r w:rsidRPr="002C6BDF">
              <w:rPr>
                <w:color w:val="000000"/>
              </w:rPr>
              <w:t>Particulate inorganic carbon</w:t>
            </w:r>
          </w:p>
        </w:tc>
        <w:tc>
          <w:tcPr>
            <w:tcW w:w="878" w:type="dxa"/>
            <w:tcBorders>
              <w:top w:val="nil"/>
              <w:left w:val="nil"/>
              <w:bottom w:val="nil"/>
              <w:right w:val="nil"/>
            </w:tcBorders>
            <w:shd w:val="clear" w:color="auto" w:fill="auto"/>
            <w:noWrap/>
            <w:vAlign w:val="bottom"/>
            <w:hideMark/>
          </w:tcPr>
          <w:p w14:paraId="77E545A0" w14:textId="77777777" w:rsidR="00277175" w:rsidRPr="002C6BDF" w:rsidRDefault="00277175">
            <w:pPr>
              <w:jc w:val="center"/>
              <w:rPr>
                <w:color w:val="000000"/>
              </w:rPr>
            </w:pPr>
            <w:r w:rsidRPr="002C6BDF">
              <w:rPr>
                <w:color w:val="000000"/>
              </w:rPr>
              <w:t>0.281</w:t>
            </w:r>
          </w:p>
        </w:tc>
        <w:tc>
          <w:tcPr>
            <w:tcW w:w="880" w:type="dxa"/>
            <w:tcBorders>
              <w:top w:val="nil"/>
              <w:left w:val="nil"/>
              <w:bottom w:val="nil"/>
              <w:right w:val="nil"/>
            </w:tcBorders>
            <w:shd w:val="clear" w:color="auto" w:fill="auto"/>
            <w:noWrap/>
            <w:vAlign w:val="bottom"/>
            <w:hideMark/>
          </w:tcPr>
          <w:p w14:paraId="31ACF5E6" w14:textId="77777777" w:rsidR="00277175" w:rsidRPr="002C6BDF" w:rsidRDefault="00277175">
            <w:pPr>
              <w:jc w:val="center"/>
              <w:rPr>
                <w:color w:val="000000"/>
              </w:rPr>
            </w:pPr>
            <w:r w:rsidRPr="002C6BDF">
              <w:rPr>
                <w:color w:val="000000"/>
              </w:rPr>
              <w:t>0.280</w:t>
            </w:r>
          </w:p>
        </w:tc>
        <w:tc>
          <w:tcPr>
            <w:tcW w:w="880" w:type="dxa"/>
            <w:tcBorders>
              <w:top w:val="nil"/>
              <w:left w:val="nil"/>
              <w:bottom w:val="nil"/>
              <w:right w:val="nil"/>
            </w:tcBorders>
            <w:shd w:val="clear" w:color="auto" w:fill="auto"/>
            <w:noWrap/>
            <w:vAlign w:val="bottom"/>
            <w:hideMark/>
          </w:tcPr>
          <w:p w14:paraId="53624C40" w14:textId="77777777" w:rsidR="00277175" w:rsidRPr="002C6BDF" w:rsidRDefault="00277175">
            <w:pPr>
              <w:jc w:val="center"/>
              <w:rPr>
                <w:color w:val="000000"/>
              </w:rPr>
            </w:pPr>
            <w:r w:rsidRPr="002C6BDF">
              <w:rPr>
                <w:color w:val="000000"/>
              </w:rPr>
              <w:t>0.257</w:t>
            </w:r>
          </w:p>
        </w:tc>
        <w:tc>
          <w:tcPr>
            <w:tcW w:w="820" w:type="dxa"/>
            <w:tcBorders>
              <w:top w:val="nil"/>
              <w:left w:val="nil"/>
              <w:bottom w:val="nil"/>
              <w:right w:val="nil"/>
            </w:tcBorders>
            <w:shd w:val="clear" w:color="auto" w:fill="auto"/>
            <w:noWrap/>
            <w:vAlign w:val="bottom"/>
            <w:hideMark/>
          </w:tcPr>
          <w:p w14:paraId="7D1408F7" w14:textId="77777777" w:rsidR="00277175" w:rsidRPr="002C6BDF" w:rsidRDefault="00277175">
            <w:pPr>
              <w:jc w:val="center"/>
              <w:rPr>
                <w:color w:val="000000"/>
              </w:rPr>
            </w:pPr>
            <w:r w:rsidRPr="002C6BDF">
              <w:rPr>
                <w:color w:val="000000"/>
              </w:rPr>
              <w:t>5</w:t>
            </w:r>
          </w:p>
        </w:tc>
        <w:tc>
          <w:tcPr>
            <w:tcW w:w="880" w:type="dxa"/>
            <w:tcBorders>
              <w:top w:val="nil"/>
              <w:left w:val="nil"/>
              <w:bottom w:val="nil"/>
              <w:right w:val="nil"/>
            </w:tcBorders>
            <w:shd w:val="clear" w:color="auto" w:fill="auto"/>
            <w:noWrap/>
            <w:vAlign w:val="bottom"/>
            <w:hideMark/>
          </w:tcPr>
          <w:p w14:paraId="04A8E425" w14:textId="77777777" w:rsidR="00277175" w:rsidRPr="002C6BDF" w:rsidRDefault="00277175">
            <w:pPr>
              <w:jc w:val="center"/>
              <w:rPr>
                <w:color w:val="000000"/>
              </w:rPr>
            </w:pPr>
            <w:r w:rsidRPr="002C6BDF">
              <w:rPr>
                <w:color w:val="000000"/>
              </w:rPr>
              <w:t>0.469</w:t>
            </w:r>
          </w:p>
        </w:tc>
        <w:tc>
          <w:tcPr>
            <w:tcW w:w="880" w:type="dxa"/>
            <w:tcBorders>
              <w:top w:val="nil"/>
              <w:left w:val="nil"/>
              <w:bottom w:val="nil"/>
              <w:right w:val="nil"/>
            </w:tcBorders>
            <w:shd w:val="clear" w:color="auto" w:fill="auto"/>
            <w:noWrap/>
            <w:vAlign w:val="bottom"/>
            <w:hideMark/>
          </w:tcPr>
          <w:p w14:paraId="5E450F05" w14:textId="77777777" w:rsidR="00277175" w:rsidRPr="002C6BDF" w:rsidRDefault="00277175">
            <w:pPr>
              <w:jc w:val="center"/>
              <w:rPr>
                <w:color w:val="000000"/>
              </w:rPr>
            </w:pPr>
            <w:r w:rsidRPr="002C6BDF">
              <w:rPr>
                <w:color w:val="000000"/>
              </w:rPr>
              <w:t>0.506</w:t>
            </w:r>
          </w:p>
        </w:tc>
        <w:tc>
          <w:tcPr>
            <w:tcW w:w="880" w:type="dxa"/>
            <w:tcBorders>
              <w:top w:val="nil"/>
              <w:left w:val="nil"/>
              <w:bottom w:val="nil"/>
              <w:right w:val="nil"/>
            </w:tcBorders>
            <w:shd w:val="clear" w:color="auto" w:fill="auto"/>
            <w:noWrap/>
            <w:vAlign w:val="bottom"/>
            <w:hideMark/>
          </w:tcPr>
          <w:p w14:paraId="1A5E19C5" w14:textId="77777777" w:rsidR="00277175" w:rsidRPr="002C6BDF" w:rsidRDefault="00277175">
            <w:pPr>
              <w:jc w:val="center"/>
              <w:rPr>
                <w:color w:val="000000"/>
              </w:rPr>
            </w:pPr>
            <w:r w:rsidRPr="002C6BDF">
              <w:rPr>
                <w:color w:val="000000"/>
              </w:rPr>
              <w:t>0.480</w:t>
            </w:r>
          </w:p>
        </w:tc>
        <w:tc>
          <w:tcPr>
            <w:tcW w:w="820" w:type="dxa"/>
            <w:tcBorders>
              <w:top w:val="nil"/>
              <w:left w:val="nil"/>
              <w:bottom w:val="nil"/>
              <w:right w:val="nil"/>
            </w:tcBorders>
            <w:shd w:val="clear" w:color="auto" w:fill="auto"/>
            <w:noWrap/>
            <w:vAlign w:val="bottom"/>
            <w:hideMark/>
          </w:tcPr>
          <w:p w14:paraId="270F6413" w14:textId="77777777" w:rsidR="00277175" w:rsidRPr="002C6BDF" w:rsidRDefault="00277175">
            <w:pPr>
              <w:jc w:val="center"/>
              <w:rPr>
                <w:color w:val="000000"/>
              </w:rPr>
            </w:pPr>
            <w:r w:rsidRPr="002C6BDF">
              <w:rPr>
                <w:color w:val="000000"/>
              </w:rPr>
              <w:t>4</w:t>
            </w:r>
          </w:p>
        </w:tc>
      </w:tr>
    </w:tbl>
    <w:p w14:paraId="20A395A3" w14:textId="1D55B562" w:rsidR="003B59F4" w:rsidRDefault="003B59F4" w:rsidP="00D1141C">
      <w:pPr>
        <w:rPr>
          <w:color w:val="000000"/>
        </w:rPr>
      </w:pPr>
    </w:p>
    <w:p w14:paraId="015CA1A3" w14:textId="2F9BC488" w:rsidR="00277175" w:rsidRDefault="002C6BDF" w:rsidP="00D1141C">
      <w:pPr>
        <w:rPr>
          <w:color w:val="000000"/>
        </w:rPr>
      </w:pPr>
      <w:proofErr w:type="spellStart"/>
      <w:r w:rsidRPr="00F1074C">
        <w:rPr>
          <w:color w:val="000000"/>
          <w:vertAlign w:val="superscript"/>
        </w:rPr>
        <w:t>a</w:t>
      </w:r>
      <w:r w:rsidRPr="002C6BDF">
        <w:rPr>
          <w:color w:val="000000"/>
        </w:rPr>
        <w:t>Measurements</w:t>
      </w:r>
      <w:proofErr w:type="spellEnd"/>
      <w:r w:rsidRPr="002C6BDF">
        <w:rPr>
          <w:color w:val="000000"/>
        </w:rPr>
        <w:t xml:space="preserve"> on triplicate </w:t>
      </w:r>
      <w:r w:rsidR="00E20CB1" w:rsidRPr="00E20CB1">
        <w:rPr>
          <w:color w:val="000000"/>
        </w:rPr>
        <w:t>quartz microfiber filter</w:t>
      </w:r>
      <w:r w:rsidRPr="002C6BDF">
        <w:rPr>
          <w:color w:val="000000"/>
        </w:rPr>
        <w:t xml:space="preserve"> punches (21 mm) from two samples collected at 50 and 500 m</w:t>
      </w:r>
      <w:r w:rsidR="00F1074C">
        <w:rPr>
          <w:color w:val="000000"/>
        </w:rPr>
        <w:t xml:space="preserve"> (</w:t>
      </w:r>
      <w:r w:rsidRPr="002C6BDF">
        <w:rPr>
          <w:color w:val="000000"/>
        </w:rPr>
        <w:t>station LS9</w:t>
      </w:r>
      <w:r w:rsidR="00F1074C">
        <w:rPr>
          <w:color w:val="000000"/>
        </w:rPr>
        <w:t>)</w:t>
      </w:r>
    </w:p>
    <w:p w14:paraId="5758614E" w14:textId="43AA56FC" w:rsidR="002C6BDF" w:rsidRPr="00D1141C" w:rsidRDefault="002C6BDF" w:rsidP="00D1141C">
      <w:pPr>
        <w:rPr>
          <w:color w:val="000000"/>
        </w:rPr>
      </w:pPr>
      <w:proofErr w:type="spellStart"/>
      <w:r w:rsidRPr="00F1074C">
        <w:rPr>
          <w:color w:val="000000"/>
          <w:vertAlign w:val="superscript"/>
        </w:rPr>
        <w:t>b</w:t>
      </w:r>
      <w:r w:rsidRPr="002C6BDF">
        <w:rPr>
          <w:color w:val="000000"/>
        </w:rPr>
        <w:t>RSD</w:t>
      </w:r>
      <w:proofErr w:type="spellEnd"/>
      <w:r w:rsidRPr="002C6BDF">
        <w:rPr>
          <w:color w:val="000000"/>
        </w:rPr>
        <w:t xml:space="preserve"> = relative standard deviation</w:t>
      </w:r>
    </w:p>
    <w:sectPr w:rsidR="002C6BDF" w:rsidRPr="00D1141C" w:rsidSect="00A914BD">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C69D4" w14:textId="77777777" w:rsidR="00DB0F29" w:rsidRDefault="00DB0F29" w:rsidP="0082553F">
      <w:r>
        <w:separator/>
      </w:r>
    </w:p>
  </w:endnote>
  <w:endnote w:type="continuationSeparator" w:id="0">
    <w:p w14:paraId="341DAF4C" w14:textId="77777777" w:rsidR="00DB0F29" w:rsidRDefault="00DB0F29" w:rsidP="00825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71136480"/>
      <w:docPartObj>
        <w:docPartGallery w:val="Page Numbers (Bottom of Page)"/>
        <w:docPartUnique/>
      </w:docPartObj>
    </w:sdtPr>
    <w:sdtEndPr>
      <w:rPr>
        <w:rStyle w:val="PageNumber"/>
      </w:rPr>
    </w:sdtEndPr>
    <w:sdtContent>
      <w:p w14:paraId="2D13C591" w14:textId="0E51C524" w:rsidR="0082553F" w:rsidRDefault="0082553F" w:rsidP="001666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DED165" w14:textId="77777777" w:rsidR="0082553F" w:rsidRDefault="0082553F" w:rsidP="008255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6833564"/>
      <w:docPartObj>
        <w:docPartGallery w:val="Page Numbers (Bottom of Page)"/>
        <w:docPartUnique/>
      </w:docPartObj>
    </w:sdtPr>
    <w:sdtEndPr>
      <w:rPr>
        <w:rStyle w:val="PageNumber"/>
      </w:rPr>
    </w:sdtEndPr>
    <w:sdtContent>
      <w:p w14:paraId="34D7A7BD" w14:textId="2128B674" w:rsidR="0082553F" w:rsidRDefault="0082553F" w:rsidP="001666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A7F54">
          <w:rPr>
            <w:rStyle w:val="PageNumber"/>
            <w:noProof/>
          </w:rPr>
          <w:t>2</w:t>
        </w:r>
        <w:r>
          <w:rPr>
            <w:rStyle w:val="PageNumber"/>
          </w:rPr>
          <w:fldChar w:fldCharType="end"/>
        </w:r>
      </w:p>
    </w:sdtContent>
  </w:sdt>
  <w:p w14:paraId="08BC24AD" w14:textId="77777777" w:rsidR="0082553F" w:rsidRDefault="0082553F" w:rsidP="008255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89578" w14:textId="77777777" w:rsidR="00DB0F29" w:rsidRDefault="00DB0F29" w:rsidP="0082553F">
      <w:r>
        <w:separator/>
      </w:r>
    </w:p>
  </w:footnote>
  <w:footnote w:type="continuationSeparator" w:id="0">
    <w:p w14:paraId="4FCFF855" w14:textId="77777777" w:rsidR="00DB0F29" w:rsidRDefault="00DB0F29" w:rsidP="00825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57E5"/>
    <w:multiLevelType w:val="hybridMultilevel"/>
    <w:tmpl w:val="7506C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F86787"/>
    <w:multiLevelType w:val="hybridMultilevel"/>
    <w:tmpl w:val="085A9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3D160E"/>
    <w:multiLevelType w:val="hybridMultilevel"/>
    <w:tmpl w:val="A78EA21A"/>
    <w:lvl w:ilvl="0" w:tplc="2CF6265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DB0"/>
    <w:rsid w:val="00004DB0"/>
    <w:rsid w:val="000122C9"/>
    <w:rsid w:val="00014D75"/>
    <w:rsid w:val="000264FC"/>
    <w:rsid w:val="00034999"/>
    <w:rsid w:val="00047C41"/>
    <w:rsid w:val="00064ECB"/>
    <w:rsid w:val="0006773A"/>
    <w:rsid w:val="000862CC"/>
    <w:rsid w:val="000B088A"/>
    <w:rsid w:val="000D2DCE"/>
    <w:rsid w:val="000E319F"/>
    <w:rsid w:val="000F2805"/>
    <w:rsid w:val="00116712"/>
    <w:rsid w:val="0012054A"/>
    <w:rsid w:val="00132342"/>
    <w:rsid w:val="00151997"/>
    <w:rsid w:val="0017412E"/>
    <w:rsid w:val="001A31C2"/>
    <w:rsid w:val="001A5D31"/>
    <w:rsid w:val="001C0400"/>
    <w:rsid w:val="001C7BC1"/>
    <w:rsid w:val="001F29B3"/>
    <w:rsid w:val="00201B51"/>
    <w:rsid w:val="00203E2C"/>
    <w:rsid w:val="00224C12"/>
    <w:rsid w:val="00235C20"/>
    <w:rsid w:val="00253635"/>
    <w:rsid w:val="00266B67"/>
    <w:rsid w:val="00277175"/>
    <w:rsid w:val="0028180B"/>
    <w:rsid w:val="00282CA0"/>
    <w:rsid w:val="002B0876"/>
    <w:rsid w:val="002C37D0"/>
    <w:rsid w:val="002C6BDF"/>
    <w:rsid w:val="002E5C77"/>
    <w:rsid w:val="002E7752"/>
    <w:rsid w:val="00317239"/>
    <w:rsid w:val="00331B29"/>
    <w:rsid w:val="003462A3"/>
    <w:rsid w:val="003B59F4"/>
    <w:rsid w:val="003D5BAD"/>
    <w:rsid w:val="00444D73"/>
    <w:rsid w:val="0045639E"/>
    <w:rsid w:val="00466394"/>
    <w:rsid w:val="00491764"/>
    <w:rsid w:val="004B0A82"/>
    <w:rsid w:val="004E791E"/>
    <w:rsid w:val="004F3E8C"/>
    <w:rsid w:val="00527C57"/>
    <w:rsid w:val="00553F14"/>
    <w:rsid w:val="005664A7"/>
    <w:rsid w:val="005726AE"/>
    <w:rsid w:val="005B4A53"/>
    <w:rsid w:val="005C78EC"/>
    <w:rsid w:val="005E11D4"/>
    <w:rsid w:val="005F168B"/>
    <w:rsid w:val="00606FB5"/>
    <w:rsid w:val="00685D6F"/>
    <w:rsid w:val="00687380"/>
    <w:rsid w:val="006A34CD"/>
    <w:rsid w:val="006A6B73"/>
    <w:rsid w:val="006B675C"/>
    <w:rsid w:val="006E0A05"/>
    <w:rsid w:val="006E6910"/>
    <w:rsid w:val="006F54BC"/>
    <w:rsid w:val="00701DDE"/>
    <w:rsid w:val="00764A59"/>
    <w:rsid w:val="007835EA"/>
    <w:rsid w:val="0079727A"/>
    <w:rsid w:val="007A3105"/>
    <w:rsid w:val="007A7F54"/>
    <w:rsid w:val="007E6727"/>
    <w:rsid w:val="007E71AE"/>
    <w:rsid w:val="00801C82"/>
    <w:rsid w:val="008107FC"/>
    <w:rsid w:val="0082553F"/>
    <w:rsid w:val="00866D46"/>
    <w:rsid w:val="00887DA1"/>
    <w:rsid w:val="008A6848"/>
    <w:rsid w:val="008A6BAE"/>
    <w:rsid w:val="008C05BE"/>
    <w:rsid w:val="008D6898"/>
    <w:rsid w:val="008F6203"/>
    <w:rsid w:val="008F7D60"/>
    <w:rsid w:val="00905A95"/>
    <w:rsid w:val="00926566"/>
    <w:rsid w:val="00941AD9"/>
    <w:rsid w:val="0099743E"/>
    <w:rsid w:val="009C14E5"/>
    <w:rsid w:val="009E5207"/>
    <w:rsid w:val="00A04905"/>
    <w:rsid w:val="00A2791D"/>
    <w:rsid w:val="00A33955"/>
    <w:rsid w:val="00A36353"/>
    <w:rsid w:val="00A4193B"/>
    <w:rsid w:val="00A646C1"/>
    <w:rsid w:val="00A747A6"/>
    <w:rsid w:val="00A914BD"/>
    <w:rsid w:val="00AC072C"/>
    <w:rsid w:val="00AC4DFF"/>
    <w:rsid w:val="00AC7AC9"/>
    <w:rsid w:val="00AF237A"/>
    <w:rsid w:val="00B042C4"/>
    <w:rsid w:val="00B25BB3"/>
    <w:rsid w:val="00B31D78"/>
    <w:rsid w:val="00B37956"/>
    <w:rsid w:val="00B606D6"/>
    <w:rsid w:val="00B960AD"/>
    <w:rsid w:val="00C12A6B"/>
    <w:rsid w:val="00C521EE"/>
    <w:rsid w:val="00C831EC"/>
    <w:rsid w:val="00C93600"/>
    <w:rsid w:val="00CA404F"/>
    <w:rsid w:val="00CB3946"/>
    <w:rsid w:val="00D1141C"/>
    <w:rsid w:val="00D14A3F"/>
    <w:rsid w:val="00D316ED"/>
    <w:rsid w:val="00D50B97"/>
    <w:rsid w:val="00D62700"/>
    <w:rsid w:val="00D81A7A"/>
    <w:rsid w:val="00DB0F29"/>
    <w:rsid w:val="00DB17A8"/>
    <w:rsid w:val="00DC2B07"/>
    <w:rsid w:val="00DE01A9"/>
    <w:rsid w:val="00E20CB1"/>
    <w:rsid w:val="00E44B18"/>
    <w:rsid w:val="00E46E54"/>
    <w:rsid w:val="00E754FC"/>
    <w:rsid w:val="00E7661E"/>
    <w:rsid w:val="00E76DC5"/>
    <w:rsid w:val="00EC5344"/>
    <w:rsid w:val="00ED15F9"/>
    <w:rsid w:val="00ED244A"/>
    <w:rsid w:val="00EE20A2"/>
    <w:rsid w:val="00F03666"/>
    <w:rsid w:val="00F1074C"/>
    <w:rsid w:val="00F257D6"/>
    <w:rsid w:val="00F267FE"/>
    <w:rsid w:val="00F3514C"/>
    <w:rsid w:val="00F46937"/>
    <w:rsid w:val="00FA6D3C"/>
    <w:rsid w:val="00FD104B"/>
    <w:rsid w:val="00FE22DB"/>
    <w:rsid w:val="4F57E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62442"/>
  <w15:chartTrackingRefBased/>
  <w15:docId w15:val="{A4D98F7D-7065-F248-9086-9B149DFE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59F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04DB0"/>
    <w:rPr>
      <w:sz w:val="16"/>
      <w:szCs w:val="16"/>
    </w:rPr>
  </w:style>
  <w:style w:type="paragraph" w:styleId="CommentText">
    <w:name w:val="annotation text"/>
    <w:basedOn w:val="Normal"/>
    <w:link w:val="CommentTextChar"/>
    <w:uiPriority w:val="99"/>
    <w:unhideWhenUsed/>
    <w:rsid w:val="00004DB0"/>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004DB0"/>
    <w:rPr>
      <w:sz w:val="20"/>
      <w:szCs w:val="20"/>
    </w:rPr>
  </w:style>
  <w:style w:type="paragraph" w:styleId="BalloonText">
    <w:name w:val="Balloon Text"/>
    <w:basedOn w:val="Normal"/>
    <w:link w:val="BalloonTextChar"/>
    <w:uiPriority w:val="99"/>
    <w:semiHidden/>
    <w:unhideWhenUsed/>
    <w:rsid w:val="00004DB0"/>
    <w:rPr>
      <w:sz w:val="18"/>
      <w:szCs w:val="18"/>
    </w:rPr>
  </w:style>
  <w:style w:type="character" w:customStyle="1" w:styleId="BalloonTextChar">
    <w:name w:val="Balloon Text Char"/>
    <w:basedOn w:val="DefaultParagraphFont"/>
    <w:link w:val="BalloonText"/>
    <w:uiPriority w:val="99"/>
    <w:semiHidden/>
    <w:rsid w:val="00004DB0"/>
    <w:rPr>
      <w:rFonts w:ascii="Times New Roman" w:eastAsia="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266B67"/>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266B67"/>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82553F"/>
    <w:pPr>
      <w:tabs>
        <w:tab w:val="center" w:pos="4680"/>
        <w:tab w:val="right" w:pos="9360"/>
      </w:tabs>
    </w:pPr>
  </w:style>
  <w:style w:type="character" w:customStyle="1" w:styleId="FooterChar">
    <w:name w:val="Footer Char"/>
    <w:basedOn w:val="DefaultParagraphFont"/>
    <w:link w:val="Footer"/>
    <w:uiPriority w:val="99"/>
    <w:rsid w:val="0082553F"/>
    <w:rPr>
      <w:rFonts w:ascii="Times New Roman" w:eastAsia="Times New Roman" w:hAnsi="Times New Roman" w:cs="Times New Roman"/>
    </w:rPr>
  </w:style>
  <w:style w:type="character" w:styleId="PageNumber">
    <w:name w:val="page number"/>
    <w:basedOn w:val="DefaultParagraphFont"/>
    <w:uiPriority w:val="99"/>
    <w:semiHidden/>
    <w:unhideWhenUsed/>
    <w:rsid w:val="0082553F"/>
  </w:style>
  <w:style w:type="paragraph" w:styleId="ListParagraph">
    <w:name w:val="List Paragraph"/>
    <w:basedOn w:val="Normal"/>
    <w:uiPriority w:val="34"/>
    <w:qFormat/>
    <w:rsid w:val="00A41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75401">
      <w:bodyDiv w:val="1"/>
      <w:marLeft w:val="0"/>
      <w:marRight w:val="0"/>
      <w:marTop w:val="0"/>
      <w:marBottom w:val="0"/>
      <w:divBdr>
        <w:top w:val="none" w:sz="0" w:space="0" w:color="auto"/>
        <w:left w:val="none" w:sz="0" w:space="0" w:color="auto"/>
        <w:bottom w:val="none" w:sz="0" w:space="0" w:color="auto"/>
        <w:right w:val="none" w:sz="0" w:space="0" w:color="auto"/>
      </w:divBdr>
    </w:div>
    <w:div w:id="254286558">
      <w:bodyDiv w:val="1"/>
      <w:marLeft w:val="0"/>
      <w:marRight w:val="0"/>
      <w:marTop w:val="0"/>
      <w:marBottom w:val="0"/>
      <w:divBdr>
        <w:top w:val="none" w:sz="0" w:space="0" w:color="auto"/>
        <w:left w:val="none" w:sz="0" w:space="0" w:color="auto"/>
        <w:bottom w:val="none" w:sz="0" w:space="0" w:color="auto"/>
        <w:right w:val="none" w:sz="0" w:space="0" w:color="auto"/>
      </w:divBdr>
    </w:div>
    <w:div w:id="667365581">
      <w:bodyDiv w:val="1"/>
      <w:marLeft w:val="0"/>
      <w:marRight w:val="0"/>
      <w:marTop w:val="0"/>
      <w:marBottom w:val="0"/>
      <w:divBdr>
        <w:top w:val="none" w:sz="0" w:space="0" w:color="auto"/>
        <w:left w:val="none" w:sz="0" w:space="0" w:color="auto"/>
        <w:bottom w:val="none" w:sz="0" w:space="0" w:color="auto"/>
        <w:right w:val="none" w:sz="0" w:space="0" w:color="auto"/>
      </w:divBdr>
    </w:div>
    <w:div w:id="830293696">
      <w:bodyDiv w:val="1"/>
      <w:marLeft w:val="0"/>
      <w:marRight w:val="0"/>
      <w:marTop w:val="0"/>
      <w:marBottom w:val="0"/>
      <w:divBdr>
        <w:top w:val="none" w:sz="0" w:space="0" w:color="auto"/>
        <w:left w:val="none" w:sz="0" w:space="0" w:color="auto"/>
        <w:bottom w:val="none" w:sz="0" w:space="0" w:color="auto"/>
        <w:right w:val="none" w:sz="0" w:space="0" w:color="auto"/>
      </w:divBdr>
    </w:div>
    <w:div w:id="924143362">
      <w:bodyDiv w:val="1"/>
      <w:marLeft w:val="0"/>
      <w:marRight w:val="0"/>
      <w:marTop w:val="0"/>
      <w:marBottom w:val="0"/>
      <w:divBdr>
        <w:top w:val="none" w:sz="0" w:space="0" w:color="auto"/>
        <w:left w:val="none" w:sz="0" w:space="0" w:color="auto"/>
        <w:bottom w:val="none" w:sz="0" w:space="0" w:color="auto"/>
        <w:right w:val="none" w:sz="0" w:space="0" w:color="auto"/>
      </w:divBdr>
    </w:div>
    <w:div w:id="1078021072">
      <w:bodyDiv w:val="1"/>
      <w:marLeft w:val="0"/>
      <w:marRight w:val="0"/>
      <w:marTop w:val="0"/>
      <w:marBottom w:val="0"/>
      <w:divBdr>
        <w:top w:val="none" w:sz="0" w:space="0" w:color="auto"/>
        <w:left w:val="none" w:sz="0" w:space="0" w:color="auto"/>
        <w:bottom w:val="none" w:sz="0" w:space="0" w:color="auto"/>
        <w:right w:val="none" w:sz="0" w:space="0" w:color="auto"/>
      </w:divBdr>
    </w:div>
    <w:div w:id="11026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802EA-C480-774A-9963-F167229D1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Muntsa</dc:creator>
  <cp:keywords/>
  <dc:description/>
  <cp:lastModifiedBy>Muntsa</cp:lastModifiedBy>
  <cp:revision>6</cp:revision>
  <cp:lastPrinted>2020-11-04T00:11:00Z</cp:lastPrinted>
  <dcterms:created xsi:type="dcterms:W3CDTF">2021-06-13T15:24:00Z</dcterms:created>
  <dcterms:modified xsi:type="dcterms:W3CDTF">2021-06-13T15:31:00Z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http://www.zotero.org/styles/elementa</vt:lpwstr>
  </property>
  <property fmtid="{D5CDD505-2E9C-101B-9397-08002B2CF9AE}" pid="9" name="Mendeley Recent Style Name 3_1">
    <vt:lpwstr>Elementa</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http://www.zotero.org/styles/journal-of-environmental-radioactivity</vt:lpwstr>
  </property>
  <property fmtid="{D5CDD505-2E9C-101B-9397-08002B2CF9AE}" pid="13" name="Mendeley Recent Style Name 5_1">
    <vt:lpwstr>Journal of Environmental Radioactivity</vt:lpwstr>
  </property>
  <property fmtid="{D5CDD505-2E9C-101B-9397-08002B2CF9AE}" pid="14" name="Mendeley Recent Style Id 6_1">
    <vt:lpwstr>http://www.zotero.org/styles/limnology-and-oceanography</vt:lpwstr>
  </property>
  <property fmtid="{D5CDD505-2E9C-101B-9397-08002B2CF9AE}" pid="15" name="Mendeley Recent Style Name 6_1">
    <vt:lpwstr>Limnology and Oceanography</vt:lpwstr>
  </property>
  <property fmtid="{D5CDD505-2E9C-101B-9397-08002B2CF9AE}" pid="16" name="Mendeley Recent Style Id 7_1">
    <vt:lpwstr>http://www.zotero.org/styles/marine-chemistry</vt:lpwstr>
  </property>
  <property fmtid="{D5CDD505-2E9C-101B-9397-08002B2CF9AE}" pid="17" name="Mendeley Recent Style Name 7_1">
    <vt:lpwstr>Marine Chemistry</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29b60834-bf46-3c50-8cc0-781ad83ce21d</vt:lpwstr>
  </property>
  <property fmtid="{D5CDD505-2E9C-101B-9397-08002B2CF9AE}" pid="24" name="Mendeley Citation Style_1">
    <vt:lpwstr>http://www.zotero.org/styles/elementa</vt:lpwstr>
  </property>
</Properties>
</file>