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70269" w14:textId="0EA9298B" w:rsidR="009F3BD2" w:rsidRPr="009F3BD2" w:rsidRDefault="009F3BD2" w:rsidP="009F3BD2">
      <w:pPr>
        <w:jc w:val="center"/>
        <w:rPr>
          <w:b/>
          <w:bCs/>
        </w:rPr>
      </w:pPr>
      <w:r w:rsidRPr="009F3BD2">
        <w:rPr>
          <w:b/>
          <w:bCs/>
        </w:rPr>
        <w:t xml:space="preserve">Supplemental data for </w:t>
      </w:r>
      <w:r w:rsidRPr="009F3BD2">
        <w:rPr>
          <w:b/>
          <w:bCs/>
        </w:rPr>
        <w:t>Study of Methane Migration in Shallow Subsurface from a Gas Pipe Leak</w:t>
      </w:r>
    </w:p>
    <w:p w14:paraId="555B8DE3" w14:textId="0AAB6D0D" w:rsidR="009F3BD2" w:rsidRDefault="009F3BD2" w:rsidP="009F3BD2">
      <w:pPr>
        <w:jc w:val="center"/>
      </w:pPr>
      <w:r w:rsidRPr="009F3BD2">
        <w:rPr>
          <w:b/>
          <w:bCs/>
        </w:rPr>
        <w:t xml:space="preserve">Authors: </w:t>
      </w:r>
      <w:r w:rsidRPr="009F3BD2">
        <w:rPr>
          <w:b/>
          <w:bCs/>
        </w:rPr>
        <w:t xml:space="preserve">Bo Gao, Melissa Mitton, Clay Bell, Dan </w:t>
      </w:r>
      <w:proofErr w:type="spellStart"/>
      <w:r w:rsidRPr="009F3BD2">
        <w:rPr>
          <w:b/>
          <w:bCs/>
        </w:rPr>
        <w:t>Zimmerle</w:t>
      </w:r>
      <w:proofErr w:type="spellEnd"/>
      <w:r w:rsidRPr="009F3BD2">
        <w:rPr>
          <w:b/>
          <w:bCs/>
        </w:rPr>
        <w:t>, Chamindu Deepagoda T.K.K.</w:t>
      </w:r>
      <w:r w:rsidRPr="009F3BD2">
        <w:rPr>
          <w:b/>
          <w:bCs/>
        </w:rPr>
        <w:t xml:space="preserve">, </w:t>
      </w:r>
      <w:proofErr w:type="spellStart"/>
      <w:r w:rsidRPr="009F3BD2">
        <w:rPr>
          <w:b/>
          <w:bCs/>
        </w:rPr>
        <w:t>Arsineh</w:t>
      </w:r>
      <w:proofErr w:type="spellEnd"/>
      <w:r w:rsidRPr="009F3BD2">
        <w:rPr>
          <w:b/>
          <w:bCs/>
        </w:rPr>
        <w:t xml:space="preserve"> </w:t>
      </w:r>
      <w:proofErr w:type="spellStart"/>
      <w:r w:rsidRPr="009F3BD2">
        <w:rPr>
          <w:b/>
          <w:bCs/>
        </w:rPr>
        <w:t>Hecobian</w:t>
      </w:r>
      <w:proofErr w:type="spellEnd"/>
      <w:r w:rsidRPr="009F3BD2">
        <w:rPr>
          <w:b/>
          <w:bCs/>
        </w:rPr>
        <w:t>, Kathleen M. Smits</w:t>
      </w:r>
    </w:p>
    <w:p w14:paraId="4F053D63" w14:textId="49670C18" w:rsidR="000659F4" w:rsidRDefault="009F3BD2" w:rsidP="009F3BD2">
      <w:r w:rsidRPr="000659F4">
        <w:t>The accom</w:t>
      </w:r>
      <w:r>
        <w:t xml:space="preserve">panying excel data file includes the </w:t>
      </w:r>
      <w:r w:rsidR="000659F4">
        <w:t xml:space="preserve">methane concentrations in percent (%) collected at three times during the three experimental cases. The three cases are presented in the table below. The time </w:t>
      </w:r>
      <w:r>
        <w:t xml:space="preserve">(T) </w:t>
      </w:r>
      <w:r w:rsidR="000659F4">
        <w:t xml:space="preserve">is defined as the time elapsed </w:t>
      </w:r>
      <w:r>
        <w:t>since methane began flowing, in hours.</w:t>
      </w:r>
    </w:p>
    <w:tbl>
      <w:tblPr>
        <w:tblStyle w:val="TableGrid"/>
        <w:tblW w:w="941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2430"/>
        <w:gridCol w:w="1787"/>
        <w:gridCol w:w="2250"/>
        <w:gridCol w:w="2054"/>
      </w:tblGrid>
      <w:tr w:rsidR="000659F4" w:rsidRPr="00006C42" w14:paraId="26C8D407" w14:textId="77777777" w:rsidTr="00B772D2">
        <w:trPr>
          <w:trHeight w:val="284"/>
        </w:trPr>
        <w:tc>
          <w:tcPr>
            <w:tcW w:w="895" w:type="dxa"/>
            <w:tcBorders>
              <w:bottom w:val="nil"/>
            </w:tcBorders>
          </w:tcPr>
          <w:p w14:paraId="1F609526" w14:textId="77777777" w:rsidR="000659F4" w:rsidRPr="00006C42" w:rsidRDefault="000659F4" w:rsidP="00B772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Case #</w:t>
            </w:r>
          </w:p>
        </w:tc>
        <w:tc>
          <w:tcPr>
            <w:tcW w:w="2430" w:type="dxa"/>
            <w:tcBorders>
              <w:bottom w:val="nil"/>
            </w:tcBorders>
            <w:hideMark/>
          </w:tcPr>
          <w:p w14:paraId="574696D7" w14:textId="77777777" w:rsidR="000659F4" w:rsidRPr="00006C42" w:rsidRDefault="000659F4" w:rsidP="00B772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cs="Times New Roman"/>
              </w:rPr>
              <w:t>Textural configuration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hideMark/>
          </w:tcPr>
          <w:p w14:paraId="4A158D3F" w14:textId="77777777" w:rsidR="000659F4" w:rsidRPr="00006C42" w:rsidRDefault="000659F4" w:rsidP="00B772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Leak</w:t>
            </w:r>
            <w:r w:rsidRPr="00006C42">
              <w:rPr>
                <w:rFonts w:eastAsia="Times New Roman" w:cs="Times New Roman"/>
                <w:color w:val="000000"/>
                <w:sz w:val="22"/>
              </w:rPr>
              <w:t xml:space="preserve"> rate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7D88D3E" w14:textId="77777777" w:rsidR="000659F4" w:rsidRPr="00006C42" w:rsidRDefault="000659F4" w:rsidP="00B772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6C42">
              <w:rPr>
                <w:rFonts w:eastAsia="Times New Roman" w:cs="Times New Roman"/>
                <w:color w:val="000000"/>
                <w:sz w:val="22"/>
              </w:rPr>
              <w:t>Av</w:t>
            </w:r>
            <w:r>
              <w:rPr>
                <w:rFonts w:eastAsia="Times New Roman" w:cs="Times New Roman"/>
                <w:color w:val="000000"/>
                <w:sz w:val="22"/>
              </w:rPr>
              <w:t>erage</w:t>
            </w:r>
            <w:r w:rsidRPr="00006C42">
              <w:rPr>
                <w:rFonts w:eastAsia="Times New Roman" w:cs="Times New Roman"/>
                <w:color w:val="000000"/>
                <w:sz w:val="22"/>
              </w:rPr>
              <w:t xml:space="preserve"> wind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s</w:t>
            </w:r>
            <w:r w:rsidRPr="00006C42">
              <w:rPr>
                <w:rFonts w:eastAsia="Times New Roman" w:cs="Times New Roman"/>
                <w:color w:val="000000"/>
                <w:sz w:val="22"/>
              </w:rPr>
              <w:t>pee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d </w:t>
            </w:r>
          </w:p>
        </w:tc>
        <w:tc>
          <w:tcPr>
            <w:tcW w:w="2054" w:type="dxa"/>
            <w:tcBorders>
              <w:bottom w:val="nil"/>
            </w:tcBorders>
          </w:tcPr>
          <w:p w14:paraId="09AF57D2" w14:textId="77777777" w:rsidR="000659F4" w:rsidRPr="00006C42" w:rsidRDefault="000659F4" w:rsidP="00B772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Average s</w:t>
            </w:r>
            <w:r w:rsidRPr="00006C42">
              <w:rPr>
                <w:rFonts w:eastAsia="Times New Roman" w:cs="Times New Roman"/>
                <w:color w:val="000000"/>
                <w:sz w:val="22"/>
              </w:rPr>
              <w:t>aturation</w:t>
            </w:r>
          </w:p>
        </w:tc>
      </w:tr>
      <w:tr w:rsidR="000659F4" w:rsidRPr="00006C42" w14:paraId="0C2FD600" w14:textId="77777777" w:rsidTr="00B772D2">
        <w:trPr>
          <w:trHeight w:val="284"/>
        </w:trPr>
        <w:tc>
          <w:tcPr>
            <w:tcW w:w="895" w:type="dxa"/>
            <w:tcBorders>
              <w:top w:val="nil"/>
            </w:tcBorders>
          </w:tcPr>
          <w:p w14:paraId="017AE7FD" w14:textId="77777777" w:rsidR="000659F4" w:rsidRDefault="000659F4" w:rsidP="00B772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63228769" w14:textId="77777777" w:rsidR="000659F4" w:rsidRDefault="000659F4" w:rsidP="00B772D2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14:paraId="3EB1B152" w14:textId="77777777" w:rsidR="000659F4" w:rsidRDefault="000659F4" w:rsidP="00B772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kg/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hr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1EC647D" w14:textId="77777777" w:rsidR="000659F4" w:rsidRPr="00006C42" w:rsidRDefault="000659F4" w:rsidP="00B772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m/s</w:t>
            </w:r>
          </w:p>
        </w:tc>
        <w:tc>
          <w:tcPr>
            <w:tcW w:w="2054" w:type="dxa"/>
            <w:tcBorders>
              <w:top w:val="nil"/>
            </w:tcBorders>
          </w:tcPr>
          <w:p w14:paraId="24D7F71D" w14:textId="77777777" w:rsidR="000659F4" w:rsidRDefault="000659F4" w:rsidP="00B772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0659F4" w:rsidRPr="00006C42" w14:paraId="1EF5066F" w14:textId="77777777" w:rsidTr="00B772D2">
        <w:trPr>
          <w:trHeight w:val="267"/>
        </w:trPr>
        <w:tc>
          <w:tcPr>
            <w:tcW w:w="895" w:type="dxa"/>
          </w:tcPr>
          <w:p w14:paraId="223175E6" w14:textId="77777777" w:rsidR="000659F4" w:rsidRPr="00006C42" w:rsidRDefault="000659F4" w:rsidP="00B772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430" w:type="dxa"/>
            <w:hideMark/>
          </w:tcPr>
          <w:p w14:paraId="5E84BF5C" w14:textId="77777777" w:rsidR="000659F4" w:rsidRPr="00006C42" w:rsidRDefault="000659F4" w:rsidP="00B772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6C42">
              <w:rPr>
                <w:rFonts w:eastAsia="Times New Roman" w:cs="Times New Roman"/>
                <w:color w:val="000000"/>
                <w:sz w:val="22"/>
              </w:rPr>
              <w:t>Homogeneous</w:t>
            </w:r>
          </w:p>
        </w:tc>
        <w:tc>
          <w:tcPr>
            <w:tcW w:w="1787" w:type="dxa"/>
            <w:hideMark/>
          </w:tcPr>
          <w:p w14:paraId="25AE1F37" w14:textId="77777777" w:rsidR="000659F4" w:rsidRPr="00006C42" w:rsidRDefault="000659F4" w:rsidP="00B772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0.50</w:t>
            </w:r>
          </w:p>
        </w:tc>
        <w:tc>
          <w:tcPr>
            <w:tcW w:w="2250" w:type="dxa"/>
          </w:tcPr>
          <w:p w14:paraId="23F03EF3" w14:textId="77777777" w:rsidR="000659F4" w:rsidRPr="00006C42" w:rsidRDefault="000659F4" w:rsidP="00B772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1.2</w:t>
            </w:r>
          </w:p>
        </w:tc>
        <w:tc>
          <w:tcPr>
            <w:tcW w:w="2054" w:type="dxa"/>
          </w:tcPr>
          <w:p w14:paraId="52ABAC12" w14:textId="77777777" w:rsidR="000659F4" w:rsidRDefault="000659F4" w:rsidP="00B772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0.14</w:t>
            </w:r>
          </w:p>
        </w:tc>
      </w:tr>
      <w:tr w:rsidR="000659F4" w:rsidRPr="00006C42" w14:paraId="4B68D95B" w14:textId="77777777" w:rsidTr="00B772D2">
        <w:trPr>
          <w:trHeight w:val="256"/>
        </w:trPr>
        <w:tc>
          <w:tcPr>
            <w:tcW w:w="895" w:type="dxa"/>
          </w:tcPr>
          <w:p w14:paraId="39048646" w14:textId="77777777" w:rsidR="000659F4" w:rsidRPr="00006C42" w:rsidRDefault="000659F4" w:rsidP="00B772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430" w:type="dxa"/>
            <w:hideMark/>
          </w:tcPr>
          <w:p w14:paraId="7D9FFCE0" w14:textId="77777777" w:rsidR="000659F4" w:rsidRPr="00006C42" w:rsidRDefault="000659F4" w:rsidP="00B772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6C42">
              <w:rPr>
                <w:rFonts w:eastAsia="Times New Roman" w:cs="Times New Roman"/>
                <w:color w:val="000000"/>
                <w:sz w:val="22"/>
              </w:rPr>
              <w:t>Homogeneous</w:t>
            </w:r>
          </w:p>
        </w:tc>
        <w:tc>
          <w:tcPr>
            <w:tcW w:w="1787" w:type="dxa"/>
            <w:hideMark/>
          </w:tcPr>
          <w:p w14:paraId="7DB50838" w14:textId="77777777" w:rsidR="000659F4" w:rsidRPr="00006C42" w:rsidRDefault="000659F4" w:rsidP="00B772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0.85</w:t>
            </w:r>
          </w:p>
        </w:tc>
        <w:tc>
          <w:tcPr>
            <w:tcW w:w="2250" w:type="dxa"/>
          </w:tcPr>
          <w:p w14:paraId="25094D72" w14:textId="77777777" w:rsidR="000659F4" w:rsidRPr="00006C42" w:rsidRDefault="000659F4" w:rsidP="00B772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1.3</w:t>
            </w:r>
          </w:p>
        </w:tc>
        <w:tc>
          <w:tcPr>
            <w:tcW w:w="2054" w:type="dxa"/>
          </w:tcPr>
          <w:p w14:paraId="70ECE70D" w14:textId="77777777" w:rsidR="000659F4" w:rsidRDefault="000659F4" w:rsidP="00B772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0.14</w:t>
            </w:r>
          </w:p>
        </w:tc>
      </w:tr>
      <w:tr w:rsidR="000659F4" w:rsidRPr="00006C42" w14:paraId="225D00C9" w14:textId="77777777" w:rsidTr="00B772D2">
        <w:trPr>
          <w:trHeight w:val="256"/>
        </w:trPr>
        <w:tc>
          <w:tcPr>
            <w:tcW w:w="895" w:type="dxa"/>
          </w:tcPr>
          <w:p w14:paraId="106746D0" w14:textId="77777777" w:rsidR="000659F4" w:rsidRPr="00006C42" w:rsidRDefault="000659F4" w:rsidP="00B772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430" w:type="dxa"/>
          </w:tcPr>
          <w:p w14:paraId="6514495D" w14:textId="77777777" w:rsidR="000659F4" w:rsidRPr="00006C42" w:rsidRDefault="000659F4" w:rsidP="00B772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06C42">
              <w:rPr>
                <w:rFonts w:eastAsia="Times New Roman" w:cs="Times New Roman"/>
                <w:color w:val="000000"/>
                <w:sz w:val="22"/>
              </w:rPr>
              <w:t>Layered soil</w:t>
            </w:r>
          </w:p>
        </w:tc>
        <w:tc>
          <w:tcPr>
            <w:tcW w:w="1787" w:type="dxa"/>
          </w:tcPr>
          <w:p w14:paraId="564F70A4" w14:textId="77777777" w:rsidR="000659F4" w:rsidRPr="00006C42" w:rsidRDefault="000659F4" w:rsidP="00B772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0.85</w:t>
            </w:r>
          </w:p>
        </w:tc>
        <w:tc>
          <w:tcPr>
            <w:tcW w:w="2250" w:type="dxa"/>
          </w:tcPr>
          <w:p w14:paraId="40A12715" w14:textId="77777777" w:rsidR="000659F4" w:rsidRPr="00006C42" w:rsidRDefault="000659F4" w:rsidP="00B772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2054" w:type="dxa"/>
          </w:tcPr>
          <w:p w14:paraId="016532DD" w14:textId="77777777" w:rsidR="000659F4" w:rsidRDefault="000659F4" w:rsidP="00B772D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sand 0.15</w:t>
            </w:r>
            <w:r w:rsidRPr="00006C42">
              <w:rPr>
                <w:rFonts w:asciiTheme="majorBidi" w:hAnsiTheme="majorBidi" w:cstheme="majorBidi"/>
                <w:sz w:val="22"/>
              </w:rPr>
              <w:t>,</w:t>
            </w:r>
            <w:r>
              <w:rPr>
                <w:rFonts w:asciiTheme="majorBidi" w:hAnsiTheme="majorBidi" w:cstheme="majorBidi"/>
                <w:sz w:val="22"/>
              </w:rPr>
              <w:t xml:space="preserve"> clay 0.38</w:t>
            </w:r>
          </w:p>
        </w:tc>
      </w:tr>
    </w:tbl>
    <w:p w14:paraId="2A732BB5" w14:textId="623D4551" w:rsidR="000659F4" w:rsidRDefault="000659F4"/>
    <w:p w14:paraId="639913A8" w14:textId="71327B4C" w:rsidR="000659F4" w:rsidRDefault="000659F4">
      <w:r>
        <w:t xml:space="preserve">Each point where a methane concentration was collected is described by an </w:t>
      </w:r>
      <w:proofErr w:type="spellStart"/>
      <w:proofErr w:type="gramStart"/>
      <w:r>
        <w:t>x,y</w:t>
      </w:r>
      <w:proofErr w:type="gramEnd"/>
      <w:r>
        <w:t>,z</w:t>
      </w:r>
      <w:proofErr w:type="spellEnd"/>
      <w:r>
        <w:t xml:space="preserve"> coordinate. The axis for the coordinate system is positioned at the ground surface above the corresponding emission point as pictured below. The </w:t>
      </w:r>
      <w:proofErr w:type="spellStart"/>
      <w:proofErr w:type="gramStart"/>
      <w:r>
        <w:t>x,y</w:t>
      </w:r>
      <w:proofErr w:type="gramEnd"/>
      <w:r>
        <w:t>,z</w:t>
      </w:r>
      <w:proofErr w:type="spellEnd"/>
      <w:r>
        <w:t xml:space="preserve"> coordinates are in meters (m). </w:t>
      </w:r>
    </w:p>
    <w:p w14:paraId="68A2D316" w14:textId="3B8CF074" w:rsidR="000659F4" w:rsidRPr="000659F4" w:rsidRDefault="000659F4">
      <w:r>
        <w:rPr>
          <w:noProof/>
        </w:rPr>
        <w:drawing>
          <wp:inline distT="0" distB="0" distL="0" distR="0" wp14:anchorId="28F170C7" wp14:editId="5CF54B3B">
            <wp:extent cx="5943600" cy="3434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9F4" w:rsidRPr="0006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F4"/>
    <w:rsid w:val="000659F4"/>
    <w:rsid w:val="001F2E40"/>
    <w:rsid w:val="004D7E08"/>
    <w:rsid w:val="009F3BD2"/>
    <w:rsid w:val="00F9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94D4"/>
  <w15:chartTrackingRefBased/>
  <w15:docId w15:val="{AC59160C-89AF-4485-BB04-253333AA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9F4"/>
    <w:pPr>
      <w:spacing w:after="0" w:line="240" w:lineRule="auto"/>
      <w:ind w:firstLine="720"/>
      <w:jc w:val="both"/>
    </w:pPr>
    <w:rPr>
      <w:rFonts w:ascii="Times New Roman" w:eastAsiaTheme="minorEastAsia" w:hAnsi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Mitton</dc:creator>
  <cp:keywords/>
  <dc:description/>
  <cp:lastModifiedBy>Melissa Mitton</cp:lastModifiedBy>
  <cp:revision>1</cp:revision>
  <dcterms:created xsi:type="dcterms:W3CDTF">2021-03-02T04:58:00Z</dcterms:created>
  <dcterms:modified xsi:type="dcterms:W3CDTF">2021-03-02T05:23:00Z</dcterms:modified>
</cp:coreProperties>
</file>